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color w:val="auto"/>
          <w:highlight w:val="none"/>
        </w:rPr>
      </w:pPr>
      <w:r/>
      <w:bookmarkStart w:id="180" w:name="_GoBack"/>
      <w:r>
        <w:rPr>
          <w:color w:val="auto"/>
          <w:highlight w:val="none"/>
        </w:rPr>
        <w:t xml:space="preserve"> </w:t>
      </w:r>
      <w:r/>
    </w:p>
    <w:p>
      <w:pPr>
        <w:jc w:val="center"/>
        <w:spacing w:before="156" w:after="156" w:line="1320" w:lineRule="exact"/>
        <w:rPr>
          <w:rFonts w:hint="eastAsia" w:ascii="宋体" w:hAnsi="宋体" w:eastAsia="宋体" w:cs="宋体"/>
          <w:b/>
          <w:color w:val="auto"/>
          <w:sz w:val="96"/>
          <w:szCs w:val="96"/>
          <w:highlight w:val="none"/>
          <w:lang w:eastAsia="zh-CN"/>
        </w:rPr>
        <w:outlineLvl w:val="0"/>
      </w:pPr>
      <w:r/>
      <w:bookmarkStart w:id="0" w:name="OLE_LINK1"/>
      <w:r/>
      <w:bookmarkStart w:id="1" w:name="OLE_LINK2"/>
      <w:r>
        <w:rPr>
          <w:rFonts w:hint="eastAsia" w:ascii="宋体" w:hAnsi="宋体" w:eastAsia="宋体" w:cs="宋体"/>
          <w:b/>
          <w:color w:val="auto"/>
          <w:sz w:val="48"/>
          <w:szCs w:val="60"/>
          <w:highlight w:val="none"/>
          <w:lang w:eastAsia="zh-CN"/>
        </w:rPr>
        <w:t xml:space="preserve">东台市低效用地再开发试点工作项目</w:t>
      </w:r>
      <w:bookmarkEnd w:id="0"/>
      <w:r/>
      <w:bookmarkEnd w:id="1"/>
      <w:r/>
      <w:r/>
    </w:p>
    <w:p>
      <w:pPr>
        <w:jc w:val="center"/>
        <w:rPr>
          <w:rFonts w:ascii="宋体" w:hAnsi="宋体" w:eastAsia="宋体" w:cs="宋体"/>
          <w:color w:val="auto"/>
          <w:sz w:val="32"/>
          <w:szCs w:val="32"/>
          <w:highlight w:val="none"/>
        </w:rPr>
        <w:outlineLvl w:val="0"/>
      </w:pPr>
      <w:r>
        <w:rPr>
          <w:rFonts w:ascii="宋体" w:hAnsi="宋体" w:eastAsia="宋体" w:cs="宋体"/>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ascii="宋体" w:hAnsi="宋体" w:eastAsia="宋体" w:cs="宋体"/>
          <w:color w:val="auto"/>
          <w:sz w:val="84"/>
          <w:highlight w:val="none"/>
        </w:rPr>
        <w:outlineLvl w:val="0"/>
      </w:pPr>
      <w:r>
        <w:rPr>
          <w:rFonts w:hint="eastAsia" w:ascii="宋体" w:hAnsi="宋体" w:eastAsia="宋体" w:cs="宋体"/>
          <w:b/>
          <w:color w:val="auto"/>
          <w:sz w:val="84"/>
          <w:highlight w:val="none"/>
        </w:rPr>
        <w:t xml:space="preserve">磋 商 文 件</w:t>
      </w:r>
      <w:r/>
    </w:p>
    <w:p>
      <w:pPr>
        <w:jc w:val="center"/>
        <w:spacing w:line="413" w:lineRule="atLeast"/>
        <w:rPr>
          <w:rFonts w:ascii="宋体" w:hAnsi="宋体" w:eastAsia="宋体" w:cs="宋体"/>
          <w:color w:val="auto"/>
          <w:highlight w:val="none"/>
        </w:rPr>
      </w:pPr>
      <w:r>
        <w:rPr>
          <w:rFonts w:ascii="宋体" w:hAnsi="宋体" w:eastAsia="宋体" w:cs="宋体"/>
          <w:color w:val="auto"/>
          <w:highlight w:val="none"/>
        </w:rPr>
      </w:r>
      <w:r/>
    </w:p>
    <w:p>
      <w:pPr>
        <w:jc w:val="center"/>
        <w:spacing w:line="413" w:lineRule="atLeast"/>
        <w:rPr>
          <w:rFonts w:ascii="宋体" w:hAnsi="宋体" w:eastAsia="宋体" w:cs="宋体"/>
          <w:color w:val="auto"/>
          <w:highlight w:val="none"/>
        </w:rPr>
      </w:pPr>
      <w:r>
        <w:rPr>
          <w:rFonts w:ascii="宋体" w:hAnsi="宋体" w:eastAsia="宋体" w:cs="宋体"/>
          <w:color w:val="auto"/>
          <w:highlight w:val="none"/>
        </w:rPr>
      </w:r>
      <w:r/>
    </w:p>
    <w:p>
      <w:pPr>
        <w:jc w:val="center"/>
        <w:spacing w:line="413" w:lineRule="atLeast"/>
        <w:rPr>
          <w:rFonts w:ascii="宋体" w:hAnsi="宋体" w:eastAsia="宋体" w:cs="宋体"/>
          <w:b/>
          <w:bCs/>
          <w:color w:val="auto"/>
          <w:highlight w:val="none"/>
          <w:u w:val="single"/>
        </w:rPr>
      </w:pPr>
      <w:r>
        <w:rPr>
          <w:rFonts w:hint="eastAsia" w:ascii="宋体" w:hAnsi="宋体" w:eastAsia="宋体" w:cs="宋体"/>
          <w:b/>
          <w:bCs/>
          <w:color w:val="auto"/>
          <w:sz w:val="32"/>
          <w:szCs w:val="32"/>
          <w:highlight w:val="none"/>
        </w:rPr>
        <w:t xml:space="preserve">编号：JSZC-320981-XHZB-C2025-0077</w:t>
      </w:r>
      <w:r/>
    </w:p>
    <w:p>
      <w:pPr>
        <w:spacing w:line="413" w:lineRule="atLeast"/>
        <w:rPr>
          <w:rFonts w:ascii="宋体" w:hAnsi="宋体" w:eastAsia="宋体" w:cs="宋体"/>
          <w:b/>
          <w:bCs/>
          <w:color w:val="auto"/>
          <w:highlight w:val="none"/>
        </w:rPr>
      </w:pPr>
      <w:r>
        <w:rPr>
          <w:rFonts w:hint="eastAsia" w:ascii="宋体" w:hAnsi="宋体" w:eastAsia="宋体" w:cs="宋体"/>
          <w:b/>
          <w:bCs/>
          <w:color w:val="auto"/>
          <w:highlight w:val="none"/>
        </w:rPr>
        <w:t xml:space="preserve"> </w:t>
      </w:r>
      <w:r/>
    </w:p>
    <w:p>
      <w:pPr>
        <w:jc w:val="left"/>
        <w:spacing w:line="453" w:lineRule="atLeast"/>
        <w:rPr>
          <w:rFonts w:ascii="宋体" w:hAnsi="宋体" w:eastAsia="宋体" w:cs="宋体"/>
          <w:bCs/>
          <w:color w:val="auto"/>
          <w:sz w:val="31"/>
          <w:highlight w:val="none"/>
        </w:rPr>
      </w:pPr>
      <w:r>
        <w:rPr>
          <w:rFonts w:ascii="宋体" w:hAnsi="宋体" w:eastAsia="宋体" w:cs="宋体"/>
          <w:bCs/>
          <w:color w:val="auto"/>
          <w:sz w:val="31"/>
          <w:highlight w:val="none"/>
        </w:rPr>
      </w:r>
      <w:r/>
    </w:p>
    <w:p>
      <w:pPr>
        <w:jc w:val="left"/>
        <w:spacing w:line="453" w:lineRule="atLeast"/>
        <w:rPr>
          <w:rFonts w:ascii="宋体" w:hAnsi="宋体" w:eastAsia="宋体" w:cs="宋体"/>
          <w:bCs/>
          <w:color w:val="auto"/>
          <w:sz w:val="31"/>
          <w:highlight w:val="none"/>
        </w:rPr>
      </w:pPr>
      <w:r>
        <w:rPr>
          <w:rFonts w:ascii="宋体" w:hAnsi="宋体" w:eastAsia="宋体" w:cs="宋体"/>
          <w:bCs/>
          <w:color w:val="auto"/>
          <w:sz w:val="31"/>
          <w:highlight w:val="none"/>
        </w:rPr>
      </w:r>
      <w:r/>
    </w:p>
    <w:p>
      <w:pPr>
        <w:jc w:val="left"/>
        <w:spacing w:line="453" w:lineRule="atLeast"/>
        <w:rPr>
          <w:rFonts w:ascii="宋体" w:hAnsi="宋体" w:eastAsia="宋体" w:cs="宋体"/>
          <w:bCs/>
          <w:color w:val="auto"/>
          <w:sz w:val="31"/>
          <w:highlight w:val="none"/>
        </w:rPr>
      </w:pPr>
      <w:r>
        <w:rPr>
          <w:rFonts w:ascii="宋体" w:hAnsi="宋体" w:eastAsia="宋体" w:cs="宋体"/>
          <w:bCs/>
          <w:color w:val="auto"/>
          <w:sz w:val="31"/>
          <w:highlight w:val="none"/>
        </w:rPr>
      </w:r>
      <w:r/>
    </w:p>
    <w:p>
      <w:pPr>
        <w:pStyle w:val="870"/>
        <w:rPr>
          <w:rFonts w:ascii="宋体" w:hAnsi="宋体" w:eastAsia="宋体" w:cs="宋体"/>
          <w:bCs/>
          <w:color w:val="auto"/>
          <w:sz w:val="31"/>
          <w:highlight w:val="none"/>
        </w:rPr>
      </w:pPr>
      <w:r>
        <w:rPr>
          <w:rFonts w:ascii="宋体" w:hAnsi="宋体" w:eastAsia="宋体" w:cs="宋体"/>
          <w:bCs/>
          <w:color w:val="auto"/>
          <w:sz w:val="31"/>
          <w:highlight w:val="none"/>
        </w:rPr>
      </w:r>
      <w:r/>
    </w:p>
    <w:p>
      <w:pPr>
        <w:spacing w:line="480" w:lineRule="auto"/>
        <w:rPr>
          <w:rFonts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东台市自然资源和规划局        </w:t>
      </w:r>
      <w:r>
        <w:rPr>
          <w:rFonts w:hint="eastAsia" w:ascii="宋体" w:hAnsi="宋体" w:eastAsia="宋体" w:cs="宋体"/>
          <w:b/>
          <w:color w:val="auto"/>
          <w:sz w:val="31"/>
          <w:highlight w:val="none"/>
        </w:rPr>
        <w:t xml:space="preserve">（盖章）</w:t>
      </w:r>
      <w:r/>
    </w:p>
    <w:p>
      <w:pPr>
        <w:spacing w:line="480" w:lineRule="auto"/>
        <w:rPr>
          <w:rFonts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ascii="宋体" w:hAnsi="宋体" w:eastAsia="宋体" w:cs="宋体"/>
          <w:b/>
          <w:color w:val="auto"/>
          <w:sz w:val="31"/>
          <w:highlight w:val="none"/>
        </w:rPr>
      </w:pPr>
      <w:r>
        <w:rPr>
          <w:rFonts w:ascii="宋体" w:hAnsi="宋体" w:eastAsia="宋体" w:cs="宋体"/>
          <w:b/>
          <w:color w:val="auto"/>
          <w:sz w:val="31"/>
          <w:highlight w:val="none"/>
        </w:rPr>
      </w:r>
      <w:r/>
    </w:p>
    <w:p>
      <w:pPr>
        <w:spacing w:line="480" w:lineRule="auto"/>
        <w:rPr>
          <w:rFonts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z w:val="31"/>
          <w:highlight w:val="none"/>
          <w:u w:val="single"/>
        </w:rPr>
        <w:t xml:space="preserve">  东台市兴华招标代理有限公司   </w:t>
      </w:r>
      <w:r>
        <w:rPr>
          <w:rFonts w:hint="eastAsia" w:ascii="宋体" w:hAnsi="宋体" w:eastAsia="宋体" w:cs="宋体"/>
          <w:b/>
          <w:color w:val="auto"/>
          <w:sz w:val="31"/>
          <w:highlight w:val="none"/>
        </w:rPr>
        <w:t xml:space="preserve">（盖章）</w:t>
      </w:r>
      <w:r/>
    </w:p>
    <w:p>
      <w:pPr>
        <w:spacing w:line="480" w:lineRule="auto"/>
        <w:rPr>
          <w:rFonts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875"/>
        <w:jc w:val="center"/>
        <w:spacing w:before="0" w:after="0" w:line="453" w:lineRule="atLeast"/>
        <w:widowControl w:val="off"/>
        <w:rPr>
          <w:rFonts w:ascii="宋体" w:hAnsi="宋体" w:eastAsia="宋体" w:cs="宋体"/>
          <w:b/>
          <w:color w:val="auto"/>
          <w:highlight w:val="none"/>
        </w:rPr>
      </w:pPr>
      <w:r>
        <w:rPr>
          <w:rFonts w:ascii="宋体" w:hAnsi="宋体" w:eastAsia="宋体" w:cs="宋体"/>
          <w:b/>
          <w:color w:val="auto"/>
          <w:highlight w:val="none"/>
        </w:rPr>
      </w:r>
      <w:r/>
    </w:p>
    <w:p>
      <w:pPr>
        <w:pStyle w:val="864"/>
        <w:jc w:val="center"/>
        <w:spacing w:beforeAutospacing="0" w:afterAutospacing="0" w:line="480" w:lineRule="auto"/>
        <w:rPr>
          <w:rFonts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2025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11</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27</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864"/>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bookmarkStart w:id="2" w:name="_Toc16938516"/>
      <w:r/>
      <w:bookmarkStart w:id="3" w:name="_Toc513029200"/>
      <w:r/>
      <w:bookmarkStart w:id="4" w:name="_Toc20823272"/>
      <w:r/>
      <w:bookmarkStart w:id="5" w:name="_Toc479757206"/>
      <w:r/>
      <w:bookmarkStart w:id="6" w:name="_Toc120614210"/>
      <w:r/>
      <w:bookmarkStart w:id="7" w:name="_Toc523127445"/>
      <w:r/>
      <w:r/>
    </w:p>
    <w:p>
      <w:pPr>
        <w:pStyle w:val="864"/>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2"/>
      <w:r/>
      <w:bookmarkEnd w:id="3"/>
      <w:r/>
      <w:bookmarkEnd w:id="4"/>
      <w:r/>
      <w:bookmarkEnd w:id="5"/>
      <w:r/>
      <w:bookmarkEnd w:id="6"/>
      <w:r/>
      <w:bookmarkEnd w:id="7"/>
      <w:r/>
      <w:r/>
    </w:p>
    <w:p>
      <w:pPr>
        <w:pStyle w:val="864"/>
        <w:jc w:val="both"/>
        <w:spacing w:beforeAutospacing="0" w:afterAutospacing="0" w:line="480" w:lineRule="auto"/>
        <w:rPr>
          <w:color w:val="auto"/>
          <w:highlight w:val="none"/>
        </w:rPr>
      </w:pPr>
      <w:r>
        <w:rPr>
          <w:color w:val="auto"/>
          <w:highlight w:val="none"/>
        </w:rPr>
        <w:t xml:space="preserve"> </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竞争性磋商公告……………………………</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center"/>
        <w:keepNext/>
        <w:spacing w:beforeAutospacing="0" w:afterAutospacing="0"/>
        <w:rPr>
          <w:rFonts w:ascii="仿宋" w:hAnsi="仿宋" w:eastAsia="仿宋" w:cs="仿宋"/>
          <w:color w:val="auto"/>
          <w:sz w:val="28"/>
          <w:szCs w:val="28"/>
          <w:highlight w:val="none"/>
        </w:rPr>
      </w:pPr>
      <w:r/>
      <w:bookmarkStart w:id="8" w:name="_Toc28359086"/>
      <w:r>
        <w:rPr>
          <w:rFonts w:hint="eastAsia" w:ascii="黑体" w:hAnsi="宋体" w:eastAsia="黑体" w:cs="黑体"/>
          <w:color w:val="auto"/>
          <w:sz w:val="44"/>
          <w:szCs w:val="44"/>
          <w:highlight w:val="none"/>
        </w:rPr>
        <w:t xml:space="preserve">第一章  竞争性磋商公告</w:t>
      </w:r>
      <w:r/>
    </w:p>
    <w:p>
      <w:pPr>
        <w:pStyle w:val="864"/>
        <w:ind w:firstLine="560"/>
        <w:jc w:val="both"/>
        <w:spacing w:beforeAutospacing="0" w:afterAutospacing="0" w:line="480" w:lineRule="exact"/>
        <w:rPr>
          <w:rFonts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rPr>
        <w:t xml:space="preserve">项目概况</w:t>
      </w:r>
      <w:r/>
    </w:p>
    <w:p>
      <w:pPr>
        <w:pStyle w:val="864"/>
        <w:ind w:firstLine="560"/>
        <w:jc w:val="both"/>
        <w:spacing w:beforeAutospacing="0" w:afterAutospacing="0" w:line="480" w:lineRule="exact"/>
        <w:rPr>
          <w:rFonts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u w:val="single"/>
          <w:lang w:eastAsia="zh-CN"/>
        </w:rPr>
        <w:t xml:space="preserve">东台市低效用地再开发试点工作项目</w:t>
      </w:r>
      <w:r>
        <w:rPr>
          <w:rFonts w:hint="eastAsia" w:ascii="仿宋" w:hAnsi="仿宋" w:eastAsia="仿宋" w:cs="仿宋"/>
          <w:color w:val="auto"/>
          <w:sz w:val="28"/>
          <w:szCs w:val="28"/>
          <w:highlight w:val="none"/>
        </w:rPr>
        <w:t xml:space="preserve">的潜在供应商应在“苏采云”系统内免费下载（供应商必须在苏采云系统中获取磋商文件，方能参与政府采购项目）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并于2025年</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lang w:val="en-US" w:eastAsia="zh-CN"/>
        </w:rPr>
        <w:t xml:space="preserve">10</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rPr>
        <w:t xml:space="preserve">点00分（北京时间）前递交响应文件。</w:t>
      </w:r>
      <w:r/>
    </w:p>
    <w:p>
      <w:pPr>
        <w:pStyle w:val="864"/>
        <w:ind w:firstLine="562"/>
        <w:jc w:val="both"/>
        <w:keepLines/>
        <w:keepNext/>
        <w:spacing w:beforeAutospacing="0" w:afterAutospacing="0" w:line="480" w:lineRule="exact"/>
        <w:rPr>
          <w:rFonts w:ascii="仿宋" w:hAnsi="仿宋" w:eastAsia="仿宋" w:cs="仿宋"/>
          <w:color w:val="auto"/>
          <w:sz w:val="28"/>
          <w:szCs w:val="28"/>
          <w:highlight w:val="none"/>
        </w:rPr>
      </w:pPr>
      <w:r/>
      <w:bookmarkStart w:id="9" w:name="_Toc28359002"/>
      <w:r/>
      <w:bookmarkStart w:id="10" w:name="_Toc35393621"/>
      <w:r/>
      <w:bookmarkStart w:id="11" w:name="_Hlk24379207"/>
      <w:r/>
      <w:bookmarkStart w:id="12" w:name="_Toc35393790"/>
      <w:r/>
      <w:bookmarkStart w:id="13" w:name="_Toc28359079"/>
      <w:r/>
      <w:bookmarkStart w:id="14" w:name="_Toc38985263"/>
      <w:r>
        <w:rPr>
          <w:rFonts w:hint="eastAsia" w:ascii="仿宋" w:hAnsi="仿宋" w:eastAsia="仿宋" w:cs="仿宋"/>
          <w:b/>
          <w:color w:val="auto"/>
          <w:sz w:val="28"/>
          <w:szCs w:val="28"/>
          <w:highlight w:val="none"/>
        </w:rPr>
        <w:t xml:space="preserve">一、项目基本情况</w:t>
      </w:r>
      <w:bookmarkEnd w:id="9"/>
      <w:r/>
      <w:bookmarkEnd w:id="10"/>
      <w:r/>
      <w:bookmarkEnd w:id="11"/>
      <w:r/>
      <w:bookmarkEnd w:id="12"/>
      <w:r/>
      <w:bookmarkEnd w:id="13"/>
      <w:r/>
      <w:bookmarkEnd w:id="14"/>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1.项目编号：JSZC-320981-XHZB-C2025-0077</w:t>
      </w:r>
      <w:r/>
    </w:p>
    <w:p>
      <w:pPr>
        <w:pStyle w:val="864"/>
        <w:ind w:firstLine="560"/>
        <w:jc w:val="both"/>
        <w:spacing w:beforeAutospacing="0" w:afterAutospacing="0"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lang w:eastAsia="zh-CN"/>
        </w:rPr>
        <w:t xml:space="preserve">东台市低效用地再开发试点工作项目</w:t>
      </w:r>
      <w:r/>
    </w:p>
    <w:p>
      <w:pPr>
        <w:pStyle w:val="864"/>
        <w:ind w:firstLine="560"/>
        <w:jc w:val="both"/>
        <w:spacing w:beforeAutospacing="0" w:afterAutospacing="0" w:line="48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3.采购方式：竞争性磋商</w:t>
      </w:r>
      <w:r/>
    </w:p>
    <w:p>
      <w:pPr>
        <w:pStyle w:val="864"/>
        <w:ind w:firstLine="560"/>
        <w:jc w:val="both"/>
        <w:spacing w:beforeAutospacing="0" w:afterAutospacing="0" w:line="480" w:lineRule="exact"/>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 xml:space="preserve">4.预算金额：</w:t>
      </w:r>
      <w:r>
        <w:rPr>
          <w:rFonts w:hint="eastAsia" w:ascii="仿宋" w:hAnsi="仿宋" w:eastAsia="仿宋" w:cs="仿宋"/>
          <w:color w:val="auto"/>
          <w:sz w:val="28"/>
          <w:szCs w:val="28"/>
          <w:highlight w:val="none"/>
          <w:shd w:val="clear" w:color="auto" w:fill="ffffff"/>
          <w:lang w:val="en-US" w:eastAsia="zh-CN"/>
        </w:rPr>
        <w:t xml:space="preserve">100</w:t>
      </w:r>
      <w:r>
        <w:rPr>
          <w:rFonts w:hint="eastAsia" w:ascii="仿宋" w:hAnsi="仿宋" w:eastAsia="仿宋" w:cs="仿宋"/>
          <w:color w:val="auto"/>
          <w:sz w:val="28"/>
          <w:szCs w:val="28"/>
          <w:highlight w:val="none"/>
          <w:shd w:val="clear" w:color="auto" w:fill="ffffff"/>
        </w:rPr>
        <w:t xml:space="preserve">万元</w:t>
      </w:r>
      <w:r/>
    </w:p>
    <w:p>
      <w:pPr>
        <w:pStyle w:val="864"/>
        <w:ind w:firstLine="560"/>
        <w:jc w:val="both"/>
        <w:spacing w:beforeAutospacing="0" w:afterAutospacing="0" w:line="480" w:lineRule="exact"/>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 xml:space="preserve">5.最高限价：</w:t>
      </w:r>
      <w:r>
        <w:rPr>
          <w:rFonts w:hint="eastAsia" w:ascii="仿宋" w:hAnsi="仿宋" w:eastAsia="仿宋" w:cs="仿宋"/>
          <w:color w:val="auto"/>
          <w:sz w:val="28"/>
          <w:szCs w:val="28"/>
          <w:highlight w:val="none"/>
          <w:shd w:val="clear" w:color="auto" w:fill="ffffff"/>
          <w:lang w:val="en-US" w:eastAsia="zh-CN"/>
        </w:rPr>
        <w:t xml:space="preserve">10</w:t>
      </w:r>
      <w:r>
        <w:rPr>
          <w:rFonts w:hint="eastAsia" w:ascii="仿宋" w:hAnsi="仿宋" w:eastAsia="仿宋" w:cs="仿宋"/>
          <w:color w:val="auto"/>
          <w:sz w:val="28"/>
          <w:szCs w:val="28"/>
          <w:highlight w:val="none"/>
          <w:shd w:val="clear" w:color="auto" w:fill="ffffff"/>
        </w:rPr>
        <w:t xml:space="preserve">0万元</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6.采购需求（简介）：</w:t>
      </w:r>
      <w:bookmarkStart w:id="15" w:name="OLE_LINK11"/>
      <w:r/>
      <w:bookmarkStart w:id="16" w:name="OLE_LINK10"/>
      <w:r>
        <w:rPr>
          <w:rFonts w:hint="eastAsia" w:ascii="仿宋" w:hAnsi="仿宋" w:eastAsia="仿宋" w:cs="仿宋"/>
          <w:color w:val="auto"/>
          <w:sz w:val="28"/>
          <w:szCs w:val="28"/>
          <w:highlight w:val="none"/>
        </w:rPr>
        <w:t xml:space="preserve">根据《自然资源部关于扩大深化低效用地再开发试点工作的通知》（自然资发〔2025〕83号）精神，盐城被列入新增低效用地再开发试点名单，为高效推进低效用地再开发试点工作，提高空间和资源的利</w:t>
      </w:r>
      <w:r>
        <w:rPr>
          <w:rFonts w:hint="eastAsia" w:ascii="仿宋" w:hAnsi="仿宋" w:eastAsia="仿宋" w:cs="仿宋"/>
          <w:color w:val="auto"/>
          <w:sz w:val="28"/>
          <w:szCs w:val="28"/>
          <w:highlight w:val="none"/>
        </w:rPr>
        <w:t xml:space="preserve">用效率，促进城乡高质量发展，结合东台市实际，依托“苏地慧用”智慧管理平台、以最新的年度变更调查成果为基础，开展工业用地年度更新调查、工业企业资源利用绩效评价、城市更新摸底调查等工作，根据江苏省低效用地认定工作指引文件，结合东台市低效用地再开发需求及意愿，制定符合实际的认定标准，开展低效用地定性定量综合评价，形成低效用地基础数据库；编制“十五五”低效用地再开发实施方案；制定低效用地再开发2026-2030年度实施计划；加快推进试点工作，对再开发项目实施成效评估，总结经验特色做法。（详细内容见本磋商文件第四章）</w:t>
      </w:r>
      <w:bookmarkEnd w:id="15"/>
      <w:r/>
      <w:bookmarkEnd w:id="16"/>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7.合同履行期限：根据国家、省、市自然资源主管部门的低效用地再开发工作和时间节点等要求提交相应成果。</w:t>
      </w:r>
      <w:r/>
    </w:p>
    <w:p>
      <w:pPr>
        <w:pStyle w:val="864"/>
        <w:ind w:firstLine="560"/>
        <w:jc w:val="both"/>
        <w:spacing w:beforeAutospacing="0" w:afterAutospacing="0" w:line="480" w:lineRule="exact"/>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 xml:space="preserve">8.本项目</w:t>
      </w:r>
      <w:r>
        <w:rPr>
          <w:rFonts w:hint="eastAsia" w:ascii="仿宋" w:hAnsi="仿宋" w:eastAsia="仿宋" w:cs="仿宋"/>
          <w:color w:val="auto"/>
          <w:sz w:val="28"/>
          <w:szCs w:val="28"/>
          <w:highlight w:val="none"/>
          <w:u w:val="single"/>
          <w:shd w:val="clear" w:color="auto" w:fill="ffffff"/>
        </w:rPr>
        <w:t xml:space="preserve"> 不接受 </w:t>
      </w:r>
      <w:r>
        <w:rPr>
          <w:rFonts w:hint="eastAsia" w:ascii="仿宋" w:hAnsi="仿宋" w:eastAsia="仿宋" w:cs="仿宋"/>
          <w:color w:val="auto"/>
          <w:sz w:val="28"/>
          <w:szCs w:val="28"/>
          <w:highlight w:val="none"/>
          <w:shd w:val="clear" w:color="auto" w:fill="ffffff"/>
        </w:rPr>
        <w:t xml:space="preserve">联合体参与磋商。</w:t>
      </w:r>
      <w:r/>
    </w:p>
    <w:p>
      <w:pPr>
        <w:pStyle w:val="864"/>
        <w:ind w:firstLine="562"/>
        <w:jc w:val="both"/>
        <w:keepLines/>
        <w:keepNext/>
        <w:spacing w:beforeAutospacing="0" w:afterAutospacing="0" w:line="480" w:lineRule="exact"/>
        <w:rPr>
          <w:rFonts w:ascii="仿宋" w:hAnsi="仿宋" w:eastAsia="仿宋" w:cs="仿宋"/>
          <w:color w:val="auto"/>
          <w:sz w:val="28"/>
          <w:szCs w:val="28"/>
          <w:highlight w:val="none"/>
        </w:rPr>
      </w:pPr>
      <w:r/>
      <w:bookmarkStart w:id="17" w:name="_Toc38985264"/>
      <w:r/>
      <w:bookmarkStart w:id="18" w:name="_Toc28359003"/>
      <w:r/>
      <w:bookmarkStart w:id="19" w:name="_Toc35393622"/>
      <w:r/>
      <w:bookmarkStart w:id="20" w:name="_Toc28359080"/>
      <w:r/>
      <w:bookmarkStart w:id="21" w:name="_Toc35393791"/>
      <w:r>
        <w:rPr>
          <w:rFonts w:hint="eastAsia" w:ascii="仿宋" w:hAnsi="仿宋" w:eastAsia="仿宋" w:cs="仿宋"/>
          <w:b/>
          <w:color w:val="auto"/>
          <w:sz w:val="28"/>
          <w:szCs w:val="28"/>
          <w:highlight w:val="none"/>
        </w:rPr>
        <w:t xml:space="preserve">二、申请人的资格要求：</w:t>
      </w:r>
      <w:bookmarkEnd w:id="17"/>
      <w:r/>
      <w:bookmarkEnd w:id="18"/>
      <w:r/>
      <w:bookmarkEnd w:id="19"/>
      <w:r/>
      <w:bookmarkEnd w:id="20"/>
      <w:r/>
      <w:bookmarkEnd w:id="21"/>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1.满足《中华人民共和国政府采购法》第二十二条规定，并提供下列材料：</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法人或者其他组织的营业执照等证明文件，自然人的身份证明；</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1.2上一年度的财务状况报表（成立不满一年无需提供）；</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1.3具备履行合同所必需的设备和专业技术能力的书面声明；</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1.5参加政府采购活动前3年内在经营活动中没有重大违法记录的书面声明。</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1.6法律、行政法规规定的其他条件。</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1.8单位负责人为同一人或者存在直接控股、管理关系的不同供应商，不得参加同一合同项下的政府采购活动。</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落实政府采购政策需满足的资格要求：本项目为专门面向中小微企业采购的项目，供应商必须为中小微企业、监狱企业、残疾人福利性单位，不接受非中小微企业参与本项目投标。响应文件中需提供《中小企业声明函》，否则按无效响应处理。具体中小企业划分标准详见《关于印发中小企业划型标准规定的通知》工信部联企业〔2011〕300号文件。因本项目专门面向中小微企业采购，故不再执行价格评审优惠的扶持政策。</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监狱企业、残疾人福利性单位视同小微企业。</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3.本项目的特定资格要求：</w:t>
      </w:r>
      <w:r/>
    </w:p>
    <w:p>
      <w:pPr>
        <w:pStyle w:val="864"/>
        <w:ind w:firstLine="560"/>
        <w:jc w:val="both"/>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3.1供应商如委托被授权人参与，则被授权人须为本单位正式职工并提供供应商为被授权人缴纳的社会养老保险证明；</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 </w:t>
      </w:r>
      <w:r>
        <w:rPr>
          <w:rFonts w:hint="eastAsia" w:ascii="仿宋" w:hAnsi="仿宋" w:eastAsia="仿宋" w:cs="仿宋"/>
          <w:color w:val="auto"/>
          <w:sz w:val="28"/>
          <w:szCs w:val="28"/>
          <w:highlight w:val="none"/>
        </w:rPr>
        <w:t xml:space="preserve">供应商须</w:t>
      </w:r>
      <w:bookmarkStart w:id="22" w:name="OLE_LINK3"/>
      <w:r>
        <w:rPr>
          <w:rFonts w:hint="eastAsia" w:ascii="仿宋" w:hAnsi="仿宋" w:eastAsia="仿宋" w:cs="仿宋"/>
          <w:color w:val="auto"/>
          <w:sz w:val="28"/>
          <w:szCs w:val="28"/>
          <w:highlight w:val="none"/>
        </w:rPr>
        <w:t xml:space="preserve">具有主管部门颁发的有效期内土地规划</w:t>
      </w:r>
      <w:r>
        <w:rPr>
          <w:rFonts w:hint="eastAsia" w:ascii="仿宋" w:hAnsi="仿宋" w:eastAsia="仿宋" w:cs="仿宋"/>
          <w:color w:val="auto"/>
          <w:sz w:val="28"/>
          <w:szCs w:val="28"/>
          <w:highlight w:val="none"/>
          <w:lang w:val="en-US" w:eastAsia="zh-CN"/>
        </w:rPr>
        <w:t xml:space="preserve">乙</w:t>
      </w:r>
      <w:r>
        <w:rPr>
          <w:rFonts w:hint="eastAsia" w:ascii="仿宋" w:hAnsi="仿宋" w:eastAsia="仿宋" w:cs="仿宋"/>
          <w:color w:val="auto"/>
          <w:sz w:val="28"/>
          <w:szCs w:val="28"/>
          <w:highlight w:val="none"/>
        </w:rPr>
        <w:t xml:space="preserve">级及以上资质证书。（因政策原因导致的土地规划机构评价推荐证书未延期或未换证的，根据中华人民共和国自然资源部令2024年第11号第三十一条规定执行）</w:t>
      </w:r>
      <w:bookmarkEnd w:id="22"/>
      <w:r/>
      <w:r/>
    </w:p>
    <w:p>
      <w:pPr>
        <w:pStyle w:val="864"/>
        <w:ind w:firstLine="562"/>
        <w:jc w:val="both"/>
        <w:keepLines/>
        <w:keepNext/>
        <w:spacing w:beforeAutospacing="0" w:afterAutospacing="0" w:line="480" w:lineRule="exac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三、获取磋商文件</w:t>
      </w:r>
      <w:r/>
    </w:p>
    <w:p>
      <w:pPr>
        <w:ind w:firstLine="560"/>
        <w:jc w:val="left"/>
        <w:spacing w:line="480" w:lineRule="exact"/>
        <w:widowControl/>
        <w:rPr>
          <w:rFonts w:ascii="仿宋" w:hAnsi="仿宋" w:eastAsia="仿宋" w:cs="仿宋"/>
          <w:color w:val="auto"/>
          <w:sz w:val="28"/>
          <w:szCs w:val="28"/>
          <w:highlight w:val="none"/>
        </w:rPr>
      </w:pPr>
      <w:r/>
      <w:bookmarkStart w:id="23" w:name="_Toc35393624"/>
      <w:r/>
      <w:bookmarkStart w:id="24" w:name="_Toc28359005"/>
      <w:r/>
      <w:bookmarkStart w:id="25" w:name="_Toc35393793"/>
      <w:r/>
      <w:bookmarkStart w:id="26" w:name="_Toc28359082"/>
      <w:r/>
      <w:bookmarkStart w:id="27" w:name="_Toc38985266"/>
      <w:r>
        <w:rPr>
          <w:rFonts w:hint="eastAsia" w:ascii="仿宋" w:hAnsi="仿宋" w:eastAsia="仿宋" w:cs="仿宋"/>
          <w:color w:val="auto"/>
          <w:sz w:val="28"/>
          <w:szCs w:val="28"/>
          <w:highlight w:val="none"/>
        </w:rPr>
        <w:t xml:space="preserve">1.时间</w:t>
      </w:r>
      <w:bookmarkEnd w:id="23"/>
      <w:r/>
      <w:bookmarkEnd w:id="24"/>
      <w:r/>
      <w:bookmarkEnd w:id="25"/>
      <w:r/>
      <w:bookmarkEnd w:id="26"/>
      <w:r/>
      <w:bookmarkEnd w:id="27"/>
      <w:r>
        <w:rPr>
          <w:rFonts w:hint="eastAsia" w:ascii="仿宋" w:hAnsi="仿宋" w:eastAsia="仿宋" w:cs="仿宋"/>
          <w:color w:val="auto"/>
          <w:sz w:val="28"/>
          <w:szCs w:val="28"/>
          <w:highlight w:val="none"/>
        </w:rPr>
        <w:t xml:space="preserve">自磋商文件公告发布之日起5个工作日。</w:t>
      </w:r>
      <w:r/>
    </w:p>
    <w:p>
      <w:pPr>
        <w:ind w:firstLine="560"/>
        <w:jc w:val="left"/>
        <w:spacing w:line="48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2.地点：“苏采云”系统内免费下载（供应商必须在苏采云系统中获取采购文件，方能参与政府采购项目）；</w:t>
      </w:r>
      <w:r/>
    </w:p>
    <w:p>
      <w:pPr>
        <w:ind w:firstLine="560"/>
        <w:jc w:val="left"/>
        <w:spacing w:line="48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3.方式：本项目采用网上注册登记方式。 </w:t>
      </w:r>
      <w:r/>
    </w:p>
    <w:p>
      <w:pPr>
        <w:ind w:firstLine="560"/>
        <w:jc w:val="left"/>
        <w:spacing w:line="48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4.售价：0元</w:t>
      </w:r>
      <w:r/>
    </w:p>
    <w:p>
      <w:pPr>
        <w:pStyle w:val="864"/>
        <w:ind w:firstLine="562"/>
        <w:jc w:val="both"/>
        <w:spacing w:beforeAutospacing="0" w:afterAutospacing="0" w:line="480" w:lineRule="exact"/>
        <w:shd w:val="clear" w:color="auto" w:fill="ffffff"/>
        <w:widowControl/>
        <w:rPr>
          <w:rFonts w:ascii="仿宋" w:hAnsi="仿宋" w:eastAsia="仿宋" w:cs="仿宋"/>
          <w:b/>
          <w:color w:val="auto"/>
          <w:sz w:val="28"/>
          <w:szCs w:val="28"/>
          <w:highlight w:val="none"/>
        </w:rPr>
      </w:pPr>
      <w:r/>
      <w:bookmarkStart w:id="28" w:name="_Toc28359018"/>
      <w:r>
        <w:rPr>
          <w:rFonts w:hint="eastAsia" w:ascii="仿宋" w:hAnsi="仿宋" w:eastAsia="仿宋" w:cs="仿宋"/>
          <w:b/>
          <w:color w:val="auto"/>
          <w:sz w:val="28"/>
          <w:szCs w:val="28"/>
          <w:highlight w:val="none"/>
        </w:rPr>
        <w:t xml:space="preserve">四、响应文件提交</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1.截止时间：2025年</w:t>
      </w:r>
      <w:r>
        <w:rPr>
          <w:rFonts w:hint="eastAsia" w:ascii="仿宋" w:hAnsi="仿宋" w:eastAsia="仿宋" w:cs="仿宋"/>
          <w:bCs/>
          <w:color w:val="auto"/>
          <w:sz w:val="28"/>
          <w:szCs w:val="28"/>
          <w:highlight w:val="none"/>
          <w:u w:val="single"/>
          <w:lang w:val="en-US" w:eastAsia="zh-CN"/>
        </w:rPr>
        <w:t xml:space="preserve">12</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lang w:val="en-US" w:eastAsia="zh-CN"/>
        </w:rPr>
        <w:t xml:space="preserve">10</w:t>
      </w:r>
      <w:r>
        <w:rPr>
          <w:rFonts w:hint="eastAsia" w:ascii="仿宋" w:hAnsi="仿宋" w:eastAsia="仿宋" w:cs="仿宋"/>
          <w:bCs/>
          <w:color w:val="auto"/>
          <w:sz w:val="28"/>
          <w:szCs w:val="28"/>
          <w:highlight w:val="none"/>
        </w:rPr>
        <w:t xml:space="preserve">日</w:t>
      </w:r>
      <w:r>
        <w:rPr>
          <w:rFonts w:hint="eastAsia" w:ascii="仿宋" w:hAnsi="仿宋" w:eastAsia="仿宋" w:cs="仿宋"/>
          <w:bCs/>
          <w:color w:val="auto"/>
          <w:sz w:val="28"/>
          <w:szCs w:val="28"/>
          <w:highlight w:val="none"/>
          <w:u w:val="single"/>
          <w:lang w:val="en-US" w:eastAsia="zh-CN"/>
        </w:rPr>
        <w:t xml:space="preserve">15</w:t>
      </w:r>
      <w:r>
        <w:rPr>
          <w:rFonts w:hint="eastAsia" w:ascii="仿宋" w:hAnsi="仿宋" w:eastAsia="仿宋" w:cs="仿宋"/>
          <w:bCs/>
          <w:color w:val="auto"/>
          <w:sz w:val="28"/>
          <w:szCs w:val="28"/>
          <w:highlight w:val="none"/>
        </w:rPr>
        <w:t xml:space="preserve">点00分（北京时间）。</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2.地点：“苏采云”政府采购交易系统网上开标大厅。</w:t>
      </w:r>
      <w:r/>
    </w:p>
    <w:p>
      <w:pPr>
        <w:pStyle w:val="864"/>
        <w:ind w:firstLine="562"/>
        <w:jc w:val="both"/>
        <w:spacing w:beforeAutospacing="0" w:afterAutospacing="0" w:line="480" w:lineRule="exact"/>
        <w:shd w:val="clear" w:color="auto" w:fill="ffffff"/>
        <w:widowControl/>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五、开启</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1.时间：2025年</w:t>
      </w:r>
      <w:r>
        <w:rPr>
          <w:rFonts w:hint="eastAsia" w:ascii="仿宋" w:hAnsi="仿宋" w:eastAsia="仿宋" w:cs="仿宋"/>
          <w:bCs/>
          <w:color w:val="auto"/>
          <w:sz w:val="28"/>
          <w:szCs w:val="28"/>
          <w:highlight w:val="none"/>
          <w:u w:val="single"/>
          <w:lang w:val="en-US" w:eastAsia="zh-CN"/>
        </w:rPr>
        <w:t xml:space="preserve">12</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lang w:val="en-US" w:eastAsia="zh-CN"/>
        </w:rPr>
        <w:t xml:space="preserve">10</w:t>
      </w:r>
      <w:r>
        <w:rPr>
          <w:rFonts w:hint="eastAsia" w:ascii="仿宋" w:hAnsi="仿宋" w:eastAsia="仿宋" w:cs="仿宋"/>
          <w:bCs/>
          <w:color w:val="auto"/>
          <w:sz w:val="28"/>
          <w:szCs w:val="28"/>
          <w:highlight w:val="none"/>
        </w:rPr>
        <w:t xml:space="preserve">日</w:t>
      </w:r>
      <w:r>
        <w:rPr>
          <w:rFonts w:hint="eastAsia" w:ascii="仿宋" w:hAnsi="仿宋" w:eastAsia="仿宋" w:cs="仿宋"/>
          <w:bCs/>
          <w:color w:val="auto"/>
          <w:sz w:val="28"/>
          <w:szCs w:val="28"/>
          <w:highlight w:val="none"/>
          <w:u w:val="single"/>
          <w:lang w:val="en-US" w:eastAsia="zh-CN"/>
        </w:rPr>
        <w:t xml:space="preserve">15</w:t>
      </w:r>
      <w:r>
        <w:rPr>
          <w:rFonts w:hint="eastAsia" w:ascii="仿宋" w:hAnsi="仿宋" w:eastAsia="仿宋" w:cs="仿宋"/>
          <w:bCs/>
          <w:color w:val="auto"/>
          <w:sz w:val="28"/>
          <w:szCs w:val="28"/>
          <w:highlight w:val="none"/>
        </w:rPr>
        <w:t xml:space="preserve">点00分（北京时间）。</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2.地点：“苏采云”政府采购交易系统网上开标大厅。</w:t>
      </w:r>
      <w:r/>
    </w:p>
    <w:p>
      <w:pPr>
        <w:pStyle w:val="864"/>
        <w:ind w:firstLine="562"/>
        <w:jc w:val="both"/>
        <w:spacing w:beforeAutospacing="0" w:afterAutospacing="0" w:line="480" w:lineRule="exact"/>
        <w:shd w:val="clear" w:color="auto" w:fill="ffffff"/>
        <w:widowControl/>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六、公告期限</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自本公告发布之日起3个工作日。</w:t>
      </w:r>
      <w:r/>
    </w:p>
    <w:p>
      <w:pPr>
        <w:pStyle w:val="864"/>
        <w:ind w:firstLine="562"/>
        <w:jc w:val="both"/>
        <w:spacing w:beforeAutospacing="0" w:afterAutospacing="0" w:line="480" w:lineRule="exact"/>
        <w:shd w:val="clear" w:color="auto" w:fill="ffffff"/>
        <w:widowControl/>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七、其他补充事宜</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2.潜在供应商访问电子招标响应交易平台的网络地址和方法： </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潜在供应商访问“苏采云”系统方法：江苏省政府采购网首页-“苏采云”链接。 </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 采购文件（后缀名为“.kedt”）、供应商操作手册及政府采购客户端 工具可通过“苏采云”系统相应链接进行下载。 </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 采购代理机构将数据电文形式的采购文件加载至“苏采云”系统，供潜在供应商下载或者查阅。 </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 请潜在投标单位提前安装相应的控件（详见《“苏采云”系统供应商操作手册》）并使用谷歌浏览器登录“苏采云”系统参与不见面开评标。 </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如潜在供应商未按上述要求操作，将自行承担所产生的风险。</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 有关本次磋商的事项若存在变动或修改，敬请及时关注“中国政府采购网”“江苏政府采购网”“盐城市政府采购网”发布的更正公告。</w:t>
      </w:r>
      <w:r/>
    </w:p>
    <w:p>
      <w:pPr>
        <w:pStyle w:val="864"/>
        <w:ind w:firstLine="560"/>
        <w:jc w:val="both"/>
        <w:spacing w:beforeAutospacing="0" w:afterAutospacing="0" w:line="480" w:lineRule="exact"/>
        <w:shd w:val="clear" w:color="auto" w:fill="ffffff"/>
        <w:widowControl/>
        <w:rPr>
          <w:rFonts w:ascii="仿宋" w:hAnsi="仿宋" w:eastAsia="仿宋" w:cs="仿宋"/>
          <w:bCs/>
          <w:color w:val="auto"/>
          <w:sz w:val="28"/>
          <w:szCs w:val="28"/>
          <w:highlight w:val="none"/>
          <w:shd w:val="clear" w:color="auto" w:fill="ffffff"/>
        </w:rPr>
      </w:pPr>
      <w:r>
        <w:rPr>
          <w:rFonts w:hint="eastAsia" w:ascii="仿宋" w:hAnsi="仿宋" w:eastAsia="仿宋" w:cs="仿宋"/>
          <w:bCs/>
          <w:color w:val="auto"/>
          <w:sz w:val="28"/>
          <w:szCs w:val="28"/>
          <w:highlight w:val="none"/>
        </w:rPr>
        <w:t xml:space="preserve">4. 本次磋商不收取磋商保证金，不收取质量保证金。</w:t>
      </w:r>
      <w:r/>
    </w:p>
    <w:p>
      <w:pPr>
        <w:pStyle w:val="852"/>
        <w:ind w:firstLine="562"/>
        <w:jc w:val="both"/>
        <w:spacing w:beforeAutospacing="0" w:afterAutospacing="0" w:line="480" w:lineRule="exact"/>
        <w:shd w:val="clear" w:color="auto" w:fill="ffffff"/>
        <w:widowControl/>
        <w:rPr>
          <w:rFonts w:hint="default" w:ascii="仿宋" w:hAnsi="仿宋" w:eastAsia="仿宋" w:cs="仿宋"/>
          <w:bCs w:val="0"/>
          <w:color w:val="auto"/>
          <w:sz w:val="28"/>
          <w:szCs w:val="28"/>
          <w:highlight w:val="none"/>
        </w:rPr>
      </w:pPr>
      <w:r>
        <w:rPr>
          <w:rFonts w:ascii="仿宋" w:hAnsi="仿宋" w:eastAsia="仿宋" w:cs="仿宋"/>
          <w:bCs w:val="0"/>
          <w:color w:val="auto"/>
          <w:sz w:val="28"/>
          <w:szCs w:val="28"/>
          <w:highlight w:val="none"/>
        </w:rPr>
        <w:t xml:space="preserve">八、凡对本次采购提出询问，请按以下方式联系。</w:t>
      </w:r>
      <w:bookmarkEnd w:id="28"/>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1.采购人信息</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名    称：东台市自然资源和规划局  </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地    址：东台市金海东路25号  </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联系方式：黄先生 0515-85214746</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2.采购代理机构信息</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名    称：东台市兴华招标代理有限公司</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地    址：东台市东达翰林缘小区商铺12-104号</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联系方式：刘先生 13921850520                   </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3.项目联系方式</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项目联系人：刘先生</w:t>
      </w:r>
      <w:r/>
    </w:p>
    <w:p>
      <w:pPr>
        <w:pStyle w:val="864"/>
        <w:ind w:firstLine="560"/>
        <w:jc w:val="both"/>
        <w:spacing w:beforeAutospacing="0" w:afterAutospacing="0" w:line="48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电　 　 话：13921850520　　　　　　　　　　　　</w:t>
      </w:r>
      <w:r/>
    </w:p>
    <w:p>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pStyle w:val="864"/>
        <w:ind w:right="840"/>
        <w:jc w:val="both"/>
        <w:spacing w:beforeAutospacing="0" w:afterAutospacing="0"/>
        <w:rPr>
          <w:color w:val="auto"/>
          <w:highlight w:val="none"/>
        </w:rPr>
      </w:pPr>
      <w:r>
        <w:rPr>
          <w:color w:val="auto"/>
          <w:highlight w:val="none"/>
        </w:rPr>
        <w:t xml:space="preserve"> </w:t>
      </w:r>
      <w:r/>
    </w:p>
    <w:p>
      <w:pPr>
        <w:pStyle w:val="864"/>
        <w:jc w:val="center"/>
        <w:keepLines/>
        <w:keepNext/>
        <w:spacing w:before="260" w:beforeAutospacing="0" w:after="260" w:afterAutospacing="0" w:line="415" w:lineRule="auto"/>
        <w:rPr>
          <w:color w:val="auto"/>
          <w:highlight w:val="none"/>
        </w:rPr>
      </w:pPr>
      <w:r/>
      <w:bookmarkStart w:id="29" w:name="_Toc120614211"/>
      <w:r>
        <w:rPr>
          <w:rFonts w:hint="eastAsia" w:ascii="黑体" w:hAnsi="宋体" w:eastAsia="黑体" w:cs="黑体"/>
          <w:b/>
          <w:color w:val="auto"/>
          <w:sz w:val="44"/>
          <w:szCs w:val="44"/>
          <w:highlight w:val="none"/>
        </w:rPr>
        <w:t xml:space="preserve">第二章  </w:t>
      </w:r>
      <w:bookmarkEnd w:id="29"/>
      <w:r>
        <w:rPr>
          <w:rFonts w:hint="eastAsia" w:ascii="黑体" w:hAnsi="宋体" w:eastAsia="黑体" w:cs="黑体"/>
          <w:b/>
          <w:color w:val="auto"/>
          <w:sz w:val="44"/>
          <w:szCs w:val="44"/>
          <w:highlight w:val="none"/>
        </w:rPr>
        <w:t xml:space="preserve">供应商须知</w:t>
      </w:r>
      <w:r/>
    </w:p>
    <w:p>
      <w:pPr>
        <w:pStyle w:val="864"/>
        <w:ind w:firstLine="482"/>
        <w:jc w:val="both"/>
        <w:keepLines/>
        <w:keepNext/>
        <w:spacing w:beforeAutospacing="0" w:afterAutospacing="0" w:line="480" w:lineRule="exact"/>
        <w:rPr>
          <w:rFonts w:ascii="宋体" w:hAnsi="宋体" w:eastAsia="宋体" w:cs="宋体"/>
          <w:color w:val="auto"/>
          <w:highlight w:val="none"/>
        </w:rPr>
      </w:pPr>
      <w:r/>
      <w:bookmarkStart w:id="30" w:name="_Toc20823275"/>
      <w:r/>
      <w:bookmarkStart w:id="31" w:name="_Toc120614214"/>
      <w:r/>
      <w:bookmarkStart w:id="32" w:name="_Toc513029203"/>
      <w:r/>
      <w:bookmarkStart w:id="33" w:name="_Toc16938519"/>
      <w:r/>
      <w:bookmarkStart w:id="34" w:name="_Hlt26668975"/>
      <w:r/>
      <w:bookmarkStart w:id="35" w:name="_Hlt26670360"/>
      <w:r/>
      <w:bookmarkStart w:id="36" w:name="_Toc513029226"/>
      <w:r/>
      <w:bookmarkStart w:id="37" w:name="_Hlt26954739"/>
      <w:r/>
      <w:bookmarkStart w:id="38" w:name="_Hlt26670482"/>
      <w:r/>
      <w:bookmarkStart w:id="39" w:name="_Hlt26954852"/>
      <w:r/>
      <w:bookmarkStart w:id="40" w:name="_Hlt26670486"/>
      <w:r/>
      <w:bookmarkStart w:id="41" w:name="_Hlt16619475"/>
      <w:r/>
      <w:bookmarkStart w:id="42" w:name="_Hlt26954846"/>
      <w:r/>
      <w:bookmarkStart w:id="43" w:name="_Hlt26954731"/>
      <w:r/>
      <w:bookmarkStart w:id="44" w:name="_Hlt26954838"/>
      <w:r/>
      <w:bookmarkStart w:id="45" w:name="_Hlt26954848"/>
      <w:r>
        <w:rPr>
          <w:rFonts w:hint="eastAsia" w:ascii="宋体" w:hAnsi="宋体" w:eastAsia="宋体" w:cs="宋体"/>
          <w:b/>
          <w:color w:val="auto"/>
          <w:highlight w:val="none"/>
        </w:rPr>
        <w:t xml:space="preserve">一、总则</w:t>
      </w:r>
      <w:bookmarkEnd w:id="30"/>
      <w:r/>
      <w:bookmarkEnd w:id="31"/>
      <w:r/>
      <w:bookmarkEnd w:id="32"/>
      <w:r/>
      <w:bookmarkEnd w:id="33"/>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46" w:name="_Toc20823276"/>
      <w:r/>
      <w:bookmarkStart w:id="47" w:name="_Toc458694821"/>
      <w:r/>
      <w:bookmarkStart w:id="48" w:name="_Toc16938520"/>
      <w:r/>
      <w:bookmarkStart w:id="49" w:name="_Toc513029204"/>
      <w:r>
        <w:rPr>
          <w:rFonts w:hint="eastAsia" w:ascii="宋体" w:hAnsi="宋体" w:eastAsia="宋体" w:cs="宋体"/>
          <w:color w:val="auto"/>
          <w:highlight w:val="none"/>
          <w:lang w:eastAsia="zh-CN"/>
        </w:rPr>
        <w:t xml:space="preserve">1.</w:t>
      </w:r>
      <w:bookmarkEnd w:id="46"/>
      <w:r>
        <w:rPr>
          <w:rFonts w:hint="eastAsia" w:ascii="宋体" w:hAnsi="宋体" w:eastAsia="宋体" w:cs="宋体"/>
          <w:color w:val="auto"/>
          <w:highlight w:val="none"/>
        </w:rPr>
        <w:t xml:space="preserve">采购方式</w:t>
      </w:r>
      <w:bookmarkEnd w:id="47"/>
      <w:r/>
      <w:bookmarkEnd w:id="48"/>
      <w:r/>
      <w:bookmarkEnd w:id="49"/>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1.1 本次政府采购活动采取竞争性磋商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以下简称磋商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方式，本磋商文件仅适用于磋商公告中所述项目。</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50" w:name="_Toc16938521"/>
      <w:r/>
      <w:bookmarkStart w:id="51" w:name="_Toc513029205"/>
      <w:r/>
      <w:bookmarkStart w:id="52" w:name="_Toc20823277"/>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合格的</w:t>
      </w:r>
      <w:bookmarkEnd w:id="50"/>
      <w:r/>
      <w:bookmarkEnd w:id="51"/>
      <w:r/>
      <w:bookmarkEnd w:id="52"/>
      <w:r>
        <w:rPr>
          <w:rFonts w:hint="eastAsia" w:ascii="宋体" w:hAnsi="宋体" w:eastAsia="宋体" w:cs="宋体"/>
          <w:color w:val="auto"/>
          <w:highlight w:val="none"/>
        </w:rPr>
        <w:t xml:space="preserve">供应商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2.1满足磋商公告中供应商资格要求的规定。</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2.2 满足本磋商文件实质性要求和条件的规定。</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53" w:name="_Toc20823278"/>
      <w:r/>
      <w:bookmarkStart w:id="54" w:name="_Toc513029206"/>
      <w:r/>
      <w:bookmarkStart w:id="55" w:name="_Toc16938522"/>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适用法律</w:t>
      </w:r>
      <w:bookmarkEnd w:id="53"/>
      <w:r/>
      <w:bookmarkEnd w:id="54"/>
      <w:r/>
      <w:bookmarkEnd w:id="55"/>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3.1 本次磋商及由此产生的合同受中华人民共和国有关的法律法规制约和保护。</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56" w:name="_Toc513029207"/>
      <w:r/>
      <w:bookmarkStart w:id="57" w:name="_Toc16938523"/>
      <w:r/>
      <w:bookmarkStart w:id="58" w:name="_Toc20823279"/>
      <w:r/>
      <w:bookmarkStart w:id="59" w:name="_Toc462564067"/>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磋商费用</w:t>
      </w:r>
      <w:bookmarkEnd w:id="56"/>
      <w:r/>
      <w:bookmarkEnd w:id="57"/>
      <w:r/>
      <w:bookmarkEnd w:id="58"/>
      <w:r/>
      <w:bookmarkEnd w:id="59"/>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4.1供应商应自行承担所有与参加本次磋商有关的费用，无论磋商过程中的做法和结果如何，采购人及代理机构在任何情况下均无义务和责任承担这些费用。</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4.2本次磋商采购人及代理机构不收取标书工本费。</w:t>
      </w:r>
      <w:r/>
    </w:p>
    <w:p>
      <w:pPr>
        <w:pStyle w:val="864"/>
        <w:ind w:firstLine="482"/>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lang w:eastAsia="zh-CN"/>
        </w:rPr>
        <w:t xml:space="preserve">5.</w:t>
      </w:r>
      <w:r>
        <w:rPr>
          <w:rFonts w:hint="eastAsia" w:ascii="宋体" w:hAnsi="宋体" w:eastAsia="宋体" w:cs="宋体"/>
          <w:color w:val="auto"/>
          <w:highlight w:val="none"/>
        </w:rPr>
        <w:t xml:space="preserve">磋商文件的约束力</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5.1供应商一旦参加本项目采购活动，即被认为接受了本磋商文件的规定和约束。</w:t>
      </w:r>
      <w:r/>
    </w:p>
    <w:p>
      <w:pPr>
        <w:pStyle w:val="864"/>
        <w:ind w:firstLine="482"/>
        <w:jc w:val="both"/>
        <w:keepLines/>
        <w:keepNext/>
        <w:spacing w:beforeAutospacing="0" w:afterAutospacing="0" w:line="480" w:lineRule="exact"/>
        <w:rPr>
          <w:rFonts w:ascii="宋体" w:hAnsi="宋体" w:eastAsia="宋体" w:cs="宋体"/>
          <w:color w:val="auto"/>
          <w:highlight w:val="none"/>
        </w:rPr>
      </w:pPr>
      <w:r/>
      <w:bookmarkStart w:id="60" w:name="_Toc120614215"/>
      <w:r/>
      <w:bookmarkStart w:id="61" w:name="_Toc16938525"/>
      <w:r/>
      <w:bookmarkStart w:id="62" w:name="_Toc20823281"/>
      <w:r/>
      <w:bookmarkStart w:id="63" w:name="_Toc513029209"/>
      <w:r>
        <w:rPr>
          <w:rFonts w:hint="eastAsia" w:ascii="宋体" w:hAnsi="宋体" w:eastAsia="宋体" w:cs="宋体"/>
          <w:b/>
          <w:color w:val="auto"/>
          <w:highlight w:val="none"/>
        </w:rPr>
        <w:t xml:space="preserve">二、</w:t>
      </w:r>
      <w:bookmarkEnd w:id="60"/>
      <w:r/>
      <w:bookmarkEnd w:id="61"/>
      <w:r/>
      <w:bookmarkEnd w:id="62"/>
      <w:r/>
      <w:bookmarkEnd w:id="63"/>
      <w:r>
        <w:rPr>
          <w:rFonts w:hint="eastAsia" w:ascii="宋体" w:hAnsi="宋体" w:eastAsia="宋体" w:cs="宋体"/>
          <w:b/>
          <w:color w:val="auto"/>
          <w:highlight w:val="none"/>
        </w:rPr>
        <w:t xml:space="preserve">磋商文件</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64" w:name="_Toc16938526"/>
      <w:r/>
      <w:bookmarkStart w:id="65" w:name="_Toc513029210"/>
      <w:r/>
      <w:bookmarkStart w:id="66" w:name="_Toc20823282"/>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磋商文件构成</w:t>
      </w:r>
      <w:bookmarkEnd w:id="64"/>
      <w:r/>
      <w:bookmarkEnd w:id="65"/>
      <w:r/>
      <w:bookmarkEnd w:id="66"/>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6.1磋商文件由以下部分组成：</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（1）磋商公告</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（2）供应商须知</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（6）响应文件格式</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请仔细检查磋商文件是否齐全，如有缺漏请立即与采购人或代理机构联系解决。</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67" w:name="_Toc462564070"/>
      <w:r/>
      <w:bookmarkStart w:id="68" w:name="_Toc20823283"/>
      <w:r/>
      <w:bookmarkStart w:id="69" w:name="_Toc513029211"/>
      <w:r/>
      <w:bookmarkStart w:id="70" w:name="_Toc16938527"/>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磋商文件的澄清</w:t>
      </w:r>
      <w:bookmarkEnd w:id="67"/>
      <w:r/>
      <w:bookmarkEnd w:id="68"/>
      <w:r/>
      <w:bookmarkEnd w:id="69"/>
      <w:r/>
      <w:bookmarkEnd w:id="70"/>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7.1 任何要求对磋商文件进行澄清的供应商，应在磋商截止期5日前按磋商公告中的通讯地址，以书面形式通知采购人。</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71" w:name="_Toc513029212"/>
      <w:r/>
      <w:bookmarkStart w:id="72" w:name="_Toc20823284"/>
      <w:r/>
      <w:bookmarkStart w:id="73" w:name="_Toc16938528"/>
      <w:r/>
      <w:bookmarkStart w:id="74" w:name="_Toc462564071"/>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磋商文件的澄清和修改</w:t>
      </w:r>
      <w:bookmarkEnd w:id="71"/>
      <w:r/>
      <w:bookmarkEnd w:id="72"/>
      <w:r/>
      <w:bookmarkEnd w:id="73"/>
      <w:r/>
      <w:bookmarkEnd w:id="74"/>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8.1 在响应文件提交截止时间前，采购人可以对磋商文件进行澄清和修改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更正公告内容将作为磋商文件的组成部分，并对供应商具有约束力。不足5日的，采购人将顺延提交首次响应文件截止时间。</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8.2采购人可以视采购项目的具体情况，组织供应商进行现场考察或召开磋商前答疑会，但不单独或分别组织只有一个供应商参加的现场考察和答疑会。</w:t>
      </w:r>
      <w:r/>
    </w:p>
    <w:p>
      <w:pPr>
        <w:pStyle w:val="864"/>
        <w:ind w:firstLine="482"/>
        <w:jc w:val="both"/>
        <w:keepLines/>
        <w:keepNext/>
        <w:spacing w:beforeAutospacing="0" w:afterAutospacing="0" w:line="480" w:lineRule="exact"/>
        <w:rPr>
          <w:rFonts w:ascii="宋体" w:hAnsi="宋体" w:eastAsia="宋体" w:cs="宋体"/>
          <w:color w:val="auto"/>
          <w:highlight w:val="none"/>
        </w:rPr>
      </w:pPr>
      <w:r/>
      <w:bookmarkStart w:id="75" w:name="_Toc16938529"/>
      <w:r/>
      <w:bookmarkStart w:id="76" w:name="_Toc120614216"/>
      <w:r/>
      <w:bookmarkStart w:id="77" w:name="_Toc462564072"/>
      <w:r/>
      <w:bookmarkStart w:id="78" w:name="_Toc20823285"/>
      <w:r/>
      <w:bookmarkStart w:id="79" w:name="_Toc513029213"/>
      <w:r>
        <w:rPr>
          <w:rFonts w:hint="eastAsia" w:ascii="宋体" w:hAnsi="宋体" w:eastAsia="宋体" w:cs="宋体"/>
          <w:b/>
          <w:color w:val="auto"/>
          <w:highlight w:val="none"/>
        </w:rPr>
        <w:t xml:space="preserve">三、响应文件的编制</w:t>
      </w:r>
      <w:bookmarkEnd w:id="75"/>
      <w:r/>
      <w:bookmarkEnd w:id="76"/>
      <w:r/>
      <w:bookmarkEnd w:id="77"/>
      <w:r/>
      <w:bookmarkEnd w:id="78"/>
      <w:r/>
      <w:bookmarkEnd w:id="79"/>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80" w:name="_Toc16938530"/>
      <w:r/>
      <w:bookmarkStart w:id="81" w:name="_Toc462564073"/>
      <w:r/>
      <w:bookmarkStart w:id="82" w:name="_Toc20823286"/>
      <w:r/>
      <w:bookmarkStart w:id="83" w:name="_Toc513029214"/>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rPr>
        <w:t xml:space="preserve">响应文件的语言及度量衡单位</w:t>
      </w:r>
      <w:bookmarkEnd w:id="80"/>
      <w:r/>
      <w:bookmarkEnd w:id="81"/>
      <w:r/>
      <w:bookmarkEnd w:id="82"/>
      <w:r/>
      <w:bookmarkEnd w:id="83"/>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9.1供应商提交的响应文件以及供应商与采购人就有关磋商的所有来往通知、函件和文件均应使用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84" w:name="_Toc16938531"/>
      <w:r/>
      <w:bookmarkStart w:id="85" w:name="_Toc462564074"/>
      <w:r/>
      <w:bookmarkStart w:id="86" w:name="_Toc513029215"/>
      <w:r/>
      <w:bookmarkStart w:id="87" w:name="_Toc20823287"/>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响应文件构成</w:t>
      </w:r>
      <w:bookmarkEnd w:id="84"/>
      <w:r/>
      <w:bookmarkEnd w:id="85"/>
      <w:r/>
      <w:bookmarkEnd w:id="86"/>
      <w:r/>
      <w:bookmarkEnd w:id="87"/>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如标书制作工具中格式和内容与“中国政府采购网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江苏政府采购网”“盐城市政府采购网”发布的磋商文件不一致，请以“中国政府采购网”“江苏政府采购网”“盐城市政府采购网”发布的磋商文件为准。</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88" w:name="_Toc14577355"/>
      <w:r/>
      <w:bookmarkStart w:id="89" w:name="_Toc49090509"/>
      <w:r/>
      <w:bookmarkStart w:id="90" w:name="_Toc49090507"/>
      <w:r/>
      <w:bookmarkStart w:id="91" w:name="_Toc513029216"/>
      <w:r/>
      <w:bookmarkStart w:id="92" w:name="_Toc14577354"/>
      <w:r/>
      <w:bookmarkStart w:id="93" w:name="_Toc14577357"/>
      <w:r/>
      <w:bookmarkStart w:id="94" w:name="_Toc513029219"/>
      <w:r/>
      <w:bookmarkStart w:id="95" w:name="_Toc49090508"/>
      <w:r>
        <w:rPr>
          <w:rFonts w:hint="eastAsia" w:ascii="宋体" w:hAnsi="宋体" w:eastAsia="宋体" w:cs="宋体"/>
          <w:color w:val="auto"/>
          <w:highlight w:val="none"/>
          <w:lang w:eastAsia="zh-CN"/>
        </w:rPr>
        <w:t xml:space="preserve">11.</w:t>
      </w:r>
      <w:r>
        <w:rPr>
          <w:rFonts w:hint="eastAsia" w:ascii="宋体" w:hAnsi="宋体" w:eastAsia="宋体" w:cs="宋体"/>
          <w:color w:val="auto"/>
          <w:highlight w:val="none"/>
        </w:rPr>
        <w:t xml:space="preserve">证明磋商响应标的符合磋商文件规定的文件</w:t>
      </w:r>
      <w:bookmarkEnd w:id="88"/>
      <w:r/>
      <w:bookmarkEnd w:id="89"/>
      <w:r/>
      <w:bookmarkEnd w:id="90"/>
      <w:r/>
      <w:bookmarkEnd w:id="91"/>
      <w:r/>
      <w:bookmarkEnd w:id="92"/>
      <w:r/>
      <w:bookmarkEnd w:id="93"/>
      <w:r/>
      <w:bookmarkEnd w:id="94"/>
      <w:r/>
      <w:bookmarkEnd w:id="95"/>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11.1供应商应按照磋商文件要求提交证明文件，证明其及磋商响应标的符合磋商文件规定。</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11.2磋商文件对证明文件无明确形式要求的，证明文件可以以文字资料、图纸和数据等形式提交。</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12.</w:t>
      </w:r>
      <w:r>
        <w:rPr>
          <w:rFonts w:hint="eastAsia" w:ascii="宋体" w:hAnsi="宋体" w:eastAsia="宋体" w:cs="宋体"/>
          <w:color w:val="auto"/>
          <w:highlight w:val="none"/>
        </w:rPr>
        <w:t xml:space="preserve">分项报价表</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12.1供应商应按照磋商文件规定格式填报分项报价表。</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12.2磋商货币。响应文件中的单价和总价无特殊规定的采用人民币报价，以元为单位标注。磋商文件中另有规定的按规定执行。</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13.</w:t>
      </w:r>
      <w:r>
        <w:rPr>
          <w:rFonts w:hint="eastAsia" w:ascii="宋体" w:hAnsi="宋体" w:eastAsia="宋体" w:cs="宋体"/>
          <w:color w:val="auto"/>
          <w:highlight w:val="none"/>
        </w:rPr>
        <w:t xml:space="preserve">技术要求响应及偏离表、商务要求响应及偏离表</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13.1供应商需对磋商文件中的技术要求与商务要求逐项作出响应或偏离，并说明原因。</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14.</w:t>
      </w:r>
      <w:r>
        <w:rPr>
          <w:rFonts w:hint="eastAsia" w:ascii="宋体" w:hAnsi="宋体" w:eastAsia="宋体" w:cs="宋体"/>
          <w:color w:val="auto"/>
          <w:highlight w:val="none"/>
        </w:rPr>
        <w:t xml:space="preserve">服务承诺、培训计划、人员安排及其他</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14.2供应商需根据磋商文件要求提供培训计划。</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14.3供应商需根据磋商文件要求提供磋商响应标的的主要组成部分、功能设计、实现思路及关键技术等。</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96" w:name="_Toc14577359"/>
      <w:r/>
      <w:bookmarkStart w:id="97" w:name="_Toc49090510"/>
      <w:r>
        <w:rPr>
          <w:rFonts w:hint="eastAsia" w:ascii="宋体" w:hAnsi="宋体" w:eastAsia="宋体" w:cs="宋体"/>
          <w:color w:val="auto"/>
          <w:highlight w:val="none"/>
          <w:lang w:eastAsia="zh-CN"/>
        </w:rPr>
        <w:t xml:space="preserve">15.</w:t>
      </w:r>
      <w:r>
        <w:rPr>
          <w:rFonts w:hint="eastAsia" w:ascii="宋体" w:hAnsi="宋体" w:eastAsia="宋体" w:cs="宋体"/>
          <w:color w:val="auto"/>
          <w:highlight w:val="none"/>
        </w:rPr>
        <w:t xml:space="preserve">磋商响应函</w:t>
      </w:r>
      <w:bookmarkEnd w:id="96"/>
      <w:r/>
      <w:bookmarkEnd w:id="97"/>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15.1供应商应按照磋商文件中提供的格式完整、正确填写磋商响应函。</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98" w:name="_Toc14577360"/>
      <w:r/>
      <w:bookmarkStart w:id="99" w:name="_Toc49090511"/>
      <w:r>
        <w:rPr>
          <w:rFonts w:hint="eastAsia" w:ascii="宋体" w:hAnsi="宋体" w:eastAsia="宋体" w:cs="宋体"/>
          <w:color w:val="auto"/>
          <w:highlight w:val="none"/>
          <w:lang w:eastAsia="zh-CN"/>
        </w:rPr>
        <w:t xml:space="preserve">16.</w:t>
      </w:r>
      <w:r>
        <w:rPr>
          <w:rFonts w:hint="eastAsia" w:ascii="宋体" w:hAnsi="宋体" w:eastAsia="宋体" w:cs="宋体"/>
          <w:color w:val="auto"/>
          <w:highlight w:val="none"/>
        </w:rPr>
        <w:t xml:space="preserve">磋商有效期</w:t>
      </w:r>
      <w:bookmarkEnd w:id="98"/>
      <w:r/>
      <w:bookmarkEnd w:id="99"/>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16.1磋商有效期为采购人规定的提交响应文件截止之日后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。磋商有效期比规定短的将被视为非实质性响应磋商文件而予以拒绝。</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17.</w:t>
      </w:r>
      <w:r>
        <w:rPr>
          <w:rFonts w:hint="eastAsia" w:ascii="宋体" w:hAnsi="宋体" w:eastAsia="宋体" w:cs="宋体"/>
          <w:color w:val="auto"/>
          <w:highlight w:val="none"/>
        </w:rPr>
        <w:t xml:space="preserve">磋商有效期的延长</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864"/>
        <w:ind w:firstLine="482"/>
        <w:jc w:val="both"/>
        <w:keepLines/>
        <w:keepNext/>
        <w:spacing w:beforeAutospacing="0" w:afterAutospacing="0" w:line="480" w:lineRule="exact"/>
        <w:rPr>
          <w:rFonts w:ascii="宋体" w:hAnsi="宋体" w:eastAsia="宋体" w:cs="宋体"/>
          <w:color w:val="auto"/>
          <w:highlight w:val="none"/>
        </w:rPr>
      </w:pPr>
      <w:r/>
      <w:bookmarkStart w:id="100" w:name="_Toc513029224"/>
      <w:r/>
      <w:bookmarkStart w:id="101" w:name="_Toc120614217"/>
      <w:r/>
      <w:bookmarkStart w:id="102" w:name="_Toc16938540"/>
      <w:r/>
      <w:bookmarkStart w:id="103" w:name="_Toc20823296"/>
      <w:r>
        <w:rPr>
          <w:rFonts w:hint="eastAsia" w:ascii="宋体" w:hAnsi="宋体" w:eastAsia="宋体" w:cs="宋体"/>
          <w:b/>
          <w:color w:val="auto"/>
          <w:highlight w:val="none"/>
        </w:rPr>
        <w:t xml:space="preserve">四、响应文件的递交</w:t>
      </w:r>
      <w:bookmarkEnd w:id="100"/>
      <w:r/>
      <w:bookmarkEnd w:id="101"/>
      <w:r/>
      <w:bookmarkEnd w:id="102"/>
      <w:r/>
      <w:bookmarkEnd w:id="103"/>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04" w:name="_Toc20823297"/>
      <w:r/>
      <w:bookmarkStart w:id="105" w:name="_Toc16938541"/>
      <w:r/>
      <w:bookmarkStart w:id="106" w:name="_Toc462564084"/>
      <w:r/>
      <w:bookmarkStart w:id="107" w:name="_Toc513029225"/>
      <w:r>
        <w:rPr>
          <w:rFonts w:hint="eastAsia" w:ascii="宋体" w:hAnsi="宋体" w:eastAsia="宋体" w:cs="宋体"/>
          <w:color w:val="auto"/>
          <w:highlight w:val="none"/>
          <w:lang w:eastAsia="zh-CN"/>
        </w:rPr>
        <w:t xml:space="preserve">18.</w:t>
      </w:r>
      <w:r>
        <w:rPr>
          <w:rFonts w:hint="eastAsia" w:ascii="宋体" w:hAnsi="宋体" w:eastAsia="宋体" w:cs="宋体"/>
          <w:color w:val="auto"/>
          <w:highlight w:val="none"/>
        </w:rPr>
        <w:t xml:space="preserve">电子磋商</w:t>
      </w:r>
      <w:bookmarkEnd w:id="104"/>
      <w:r/>
      <w:bookmarkEnd w:id="105"/>
      <w:r/>
      <w:bookmarkEnd w:id="106"/>
      <w:r/>
      <w:bookmarkEnd w:id="107"/>
      <w:r>
        <w:rPr>
          <w:rFonts w:hint="eastAsia" w:ascii="宋体" w:hAnsi="宋体" w:eastAsia="宋体" w:cs="宋体"/>
          <w:color w:val="auto"/>
          <w:highlight w:val="none"/>
        </w:rPr>
        <w:t xml:space="preserve">响应文件的递交</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108" w:name="_Toc16938542"/>
      <w:r/>
      <w:bookmarkEnd w:id="108"/>
      <w:r/>
      <w:bookmarkStart w:id="109" w:name="_Toc20823298"/>
      <w:r/>
      <w:bookmarkEnd w:id="109"/>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19.</w:t>
      </w:r>
      <w:r>
        <w:rPr>
          <w:rFonts w:hint="eastAsia" w:ascii="宋体" w:hAnsi="宋体" w:eastAsia="宋体" w:cs="宋体"/>
          <w:color w:val="auto"/>
          <w:highlight w:val="none"/>
        </w:rPr>
        <w:t xml:space="preserve">提交响应文件截止时间</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i/>
          <w:color w:val="auto"/>
          <w:highlight w:val="none"/>
          <w:u w:val="single"/>
        </w:rPr>
        <w:t xml:space="preserve">19.1供应商上传电子响应文件的时间不得迟于磋商公告中规定的提交响应文件截止时间。</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w:t>
      </w:r>
      <w:r>
        <w:rPr>
          <w:rFonts w:hint="eastAsia" w:ascii="宋体" w:hAnsi="宋体" w:eastAsia="宋体" w:cs="宋体"/>
          <w:color w:val="auto"/>
          <w:highlight w:val="none"/>
          <w:lang w:eastAsia="zh-CN"/>
        </w:rPr>
        <w:t xml:space="preserve">充分考虑</w:t>
      </w:r>
      <w:r>
        <w:rPr>
          <w:rFonts w:hint="eastAsia" w:ascii="宋体" w:hAnsi="宋体" w:eastAsia="宋体" w:cs="宋体"/>
          <w:color w:val="auto"/>
          <w:highlight w:val="none"/>
        </w:rPr>
        <w:t xml:space="preserve">网络环境、网络带宽等风险因素，如因供应商自身原因造成的电子响应文件上传不成功的按照本磋商文件第二章第26.3.2条规定做无效响应处理。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10" w:name="_Toc513029227"/>
      <w:r/>
      <w:bookmarkStart w:id="111" w:name="_Toc16938543"/>
      <w:r/>
      <w:bookmarkStart w:id="112" w:name="_Toc20823299"/>
      <w:r>
        <w:rPr>
          <w:rFonts w:hint="eastAsia" w:ascii="宋体" w:hAnsi="宋体" w:eastAsia="宋体" w:cs="宋体"/>
          <w:color w:val="auto"/>
          <w:highlight w:val="none"/>
          <w:lang w:eastAsia="zh-CN"/>
        </w:rPr>
        <w:t xml:space="preserve">20.</w:t>
      </w:r>
      <w:r>
        <w:rPr>
          <w:rFonts w:hint="eastAsia" w:ascii="宋体" w:hAnsi="宋体" w:eastAsia="宋体" w:cs="宋体"/>
          <w:color w:val="auto"/>
          <w:highlight w:val="none"/>
        </w:rPr>
        <w:t xml:space="preserve">响应文件</w:t>
      </w:r>
      <w:bookmarkEnd w:id="110"/>
      <w:r/>
      <w:bookmarkEnd w:id="111"/>
      <w:r/>
      <w:bookmarkEnd w:id="112"/>
      <w:r>
        <w:rPr>
          <w:rFonts w:hint="eastAsia" w:ascii="宋体" w:hAnsi="宋体" w:eastAsia="宋体" w:cs="宋体"/>
          <w:color w:val="auto"/>
          <w:highlight w:val="none"/>
        </w:rPr>
        <w:t xml:space="preserve">的拒收</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20.1 采购人拒绝接收在其规定的提交响应文件截止时间后上传的任何电子响应文件。</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13" w:name="_Toc16938544"/>
      <w:r/>
      <w:bookmarkStart w:id="114" w:name="_Toc20823300"/>
      <w:r/>
      <w:bookmarkStart w:id="115" w:name="_Toc513029228"/>
      <w:r>
        <w:rPr>
          <w:rFonts w:hint="eastAsia" w:ascii="宋体" w:hAnsi="宋体" w:eastAsia="宋体" w:cs="宋体"/>
          <w:color w:val="auto"/>
          <w:highlight w:val="none"/>
          <w:lang w:eastAsia="zh-CN"/>
        </w:rPr>
        <w:t xml:space="preserve">21.</w:t>
      </w:r>
      <w:r>
        <w:rPr>
          <w:rFonts w:hint="eastAsia" w:ascii="宋体" w:hAnsi="宋体" w:eastAsia="宋体" w:cs="宋体"/>
          <w:color w:val="auto"/>
          <w:highlight w:val="none"/>
        </w:rPr>
        <w:t xml:space="preserve">响应文件的撤回和修改</w:t>
      </w:r>
      <w:bookmarkEnd w:id="113"/>
      <w:r/>
      <w:bookmarkEnd w:id="114"/>
      <w:r/>
      <w:bookmarkEnd w:id="115"/>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21.1响应文件的撤回</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21.1.1 电子响应文件的撤回</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21.2响应文件的修改</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21.4 在提交响应文件截止时间至磋商文件中规定的磋商有效期满之间的这段时间内，供应商不得撤回其响应文件。</w:t>
      </w:r>
      <w:r/>
    </w:p>
    <w:p>
      <w:pPr>
        <w:pStyle w:val="864"/>
        <w:ind w:firstLine="482"/>
        <w:jc w:val="both"/>
        <w:keepLines/>
        <w:keepNext/>
        <w:spacing w:beforeAutospacing="0" w:afterAutospacing="0" w:line="480" w:lineRule="exact"/>
        <w:rPr>
          <w:rFonts w:ascii="宋体" w:hAnsi="宋体" w:eastAsia="宋体" w:cs="宋体"/>
          <w:color w:val="auto"/>
          <w:highlight w:val="none"/>
        </w:rPr>
      </w:pPr>
      <w:r/>
      <w:bookmarkStart w:id="116" w:name="_Toc120614218"/>
      <w:r/>
      <w:bookmarkStart w:id="117" w:name="_Toc16938545"/>
      <w:r/>
      <w:bookmarkStart w:id="118" w:name="_Toc20823301"/>
      <w:r/>
      <w:bookmarkStart w:id="119" w:name="_Toc513029229"/>
      <w:r>
        <w:rPr>
          <w:rFonts w:hint="eastAsia" w:ascii="宋体" w:hAnsi="宋体" w:eastAsia="宋体" w:cs="宋体"/>
          <w:b/>
          <w:color w:val="auto"/>
          <w:highlight w:val="none"/>
        </w:rPr>
        <w:t xml:space="preserve">五、响应文件的解密与评审</w:t>
      </w:r>
      <w:bookmarkEnd w:id="116"/>
      <w:r/>
      <w:bookmarkEnd w:id="117"/>
      <w:r/>
      <w:bookmarkEnd w:id="118"/>
      <w:r/>
      <w:bookmarkEnd w:id="119"/>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20" w:name="_Toc16938546"/>
      <w:r/>
      <w:bookmarkStart w:id="121" w:name="_Toc513029230"/>
      <w:r/>
      <w:bookmarkStart w:id="122" w:name="_Toc20823302"/>
      <w:r>
        <w:rPr>
          <w:rFonts w:hint="eastAsia" w:ascii="宋体" w:hAnsi="宋体" w:eastAsia="宋体" w:cs="宋体"/>
          <w:color w:val="auto"/>
          <w:highlight w:val="none"/>
          <w:lang w:eastAsia="zh-CN"/>
        </w:rPr>
        <w:t xml:space="preserve">22.</w:t>
      </w:r>
      <w:bookmarkEnd w:id="120"/>
      <w:r/>
      <w:bookmarkEnd w:id="121"/>
      <w:r/>
      <w:bookmarkEnd w:id="122"/>
      <w:r>
        <w:rPr>
          <w:rFonts w:hint="eastAsia" w:ascii="宋体" w:hAnsi="宋体" w:eastAsia="宋体" w:cs="宋体"/>
          <w:color w:val="auto"/>
          <w:highlight w:val="none"/>
        </w:rPr>
        <w:t xml:space="preserve">响应文件解密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22.1供应商应当按照《操作手册》规定，在苏采云系统规定的时间内对磋商响应文件进行解密。</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23" w:name="_Toc16938547"/>
      <w:r/>
      <w:bookmarkStart w:id="124" w:name="_Toc20823303"/>
      <w:r/>
      <w:bookmarkStart w:id="125" w:name="_Toc513029231"/>
      <w:r>
        <w:rPr>
          <w:rFonts w:hint="eastAsia" w:ascii="宋体" w:hAnsi="宋体" w:eastAsia="宋体" w:cs="宋体"/>
          <w:color w:val="auto"/>
          <w:highlight w:val="none"/>
          <w:lang w:eastAsia="zh-CN"/>
        </w:rPr>
        <w:t xml:space="preserve">23.</w:t>
      </w:r>
      <w:r>
        <w:rPr>
          <w:rFonts w:hint="eastAsia" w:ascii="宋体" w:hAnsi="宋体" w:eastAsia="宋体" w:cs="宋体"/>
          <w:color w:val="auto"/>
          <w:highlight w:val="none"/>
        </w:rPr>
        <w:t xml:space="preserve">磋商小组</w:t>
      </w:r>
      <w:bookmarkEnd w:id="123"/>
      <w:r/>
      <w:bookmarkEnd w:id="124"/>
      <w:r/>
      <w:bookmarkEnd w:id="125"/>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23.1采购人将组织磋商小组对响应文件进行评审。磋商小组由采购人代表和有关技术、经济等方面的专家组成，且人员构成符合政府采购有关规定。</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23.2磋商小组独立工作，负责评审所有响应文件并确定成交候选人。</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24.</w:t>
      </w:r>
      <w:r>
        <w:rPr>
          <w:rFonts w:hint="eastAsia" w:ascii="宋体" w:hAnsi="宋体" w:eastAsia="宋体" w:cs="宋体"/>
          <w:color w:val="auto"/>
          <w:highlight w:val="none"/>
        </w:rPr>
        <w:t xml:space="preserve">评审过程的保密与公正</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24.1磋商小组、采购人和代理机构工作人员、相关监督人员等与评审工作有关的人员，对评审情况以及在评审过程中获悉的国家秘密、商业秘密负有保密责任。</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24.2在评审过程中，供应商不得以任何行为影响磋商评审过程，否则其响应文件将被视为无效响应文件。</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24.3在项目评审期间，代理机构将设专门人员与供应商联系。</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24.4代理机构和磋商小组不向未成交的供应商解释未成交原因，也不公布评审过程中的相关细节。</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26" w:name="_Toc20823304"/>
      <w:r/>
      <w:bookmarkStart w:id="127" w:name="_Toc16938548"/>
      <w:r/>
      <w:bookmarkStart w:id="128" w:name="_Toc513029232"/>
      <w:r>
        <w:rPr>
          <w:rFonts w:hint="eastAsia" w:ascii="宋体" w:hAnsi="宋体" w:eastAsia="宋体" w:cs="宋体"/>
          <w:color w:val="auto"/>
          <w:highlight w:val="none"/>
          <w:lang w:eastAsia="zh-CN"/>
        </w:rPr>
        <w:t xml:space="preserve">25.</w:t>
      </w:r>
      <w:r>
        <w:rPr>
          <w:rFonts w:hint="eastAsia" w:ascii="宋体" w:hAnsi="宋体" w:eastAsia="宋体" w:cs="宋体"/>
          <w:color w:val="auto"/>
          <w:highlight w:val="none"/>
        </w:rPr>
        <w:t xml:space="preserve">评审过程中的澄清</w:t>
      </w:r>
      <w:bookmarkEnd w:id="126"/>
      <w:r/>
      <w:bookmarkEnd w:id="127"/>
      <w:r/>
      <w:bookmarkEnd w:id="128"/>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w:t>
      </w:r>
      <w:r>
        <w:rPr>
          <w:rFonts w:hint="eastAsia" w:ascii="宋体" w:hAnsi="宋体" w:eastAsia="宋体" w:cs="宋体"/>
          <w:color w:val="auto"/>
          <w:highlight w:val="none"/>
          <w:lang w:eastAsia="zh-CN"/>
        </w:rPr>
        <w:t xml:space="preserve">做</w:t>
      </w:r>
      <w:r>
        <w:rPr>
          <w:rFonts w:hint="eastAsia" w:ascii="宋体" w:hAnsi="宋体" w:eastAsia="宋体" w:cs="宋体"/>
          <w:color w:val="auto"/>
          <w:highlight w:val="none"/>
        </w:rPr>
        <w:t xml:space="preserve">澄清要求。</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25.3 接到磋商小组澄清、说明和更正要求的供应商如未按规定作出澄清、说明和 更正，其风险由供应商自行承担。</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29" w:name="_Toc513029233"/>
      <w:r/>
      <w:bookmarkStart w:id="130" w:name="_Toc20823305"/>
      <w:r/>
      <w:bookmarkStart w:id="131" w:name="_Toc16938549"/>
      <w:r>
        <w:rPr>
          <w:rFonts w:hint="eastAsia" w:ascii="宋体" w:hAnsi="宋体" w:eastAsia="宋体" w:cs="宋体"/>
          <w:color w:val="auto"/>
          <w:highlight w:val="none"/>
          <w:lang w:eastAsia="zh-CN"/>
        </w:rPr>
        <w:t xml:space="preserve">26.</w:t>
      </w:r>
      <w:r>
        <w:rPr>
          <w:rFonts w:hint="eastAsia" w:ascii="宋体" w:hAnsi="宋体" w:eastAsia="宋体" w:cs="宋体"/>
          <w:color w:val="auto"/>
          <w:highlight w:val="none"/>
        </w:rPr>
        <w:t xml:space="preserve">对响应文件的审</w:t>
      </w:r>
      <w:bookmarkEnd w:id="129"/>
      <w:r/>
      <w:bookmarkEnd w:id="130"/>
      <w:r/>
      <w:bookmarkEnd w:id="131"/>
      <w:r>
        <w:rPr>
          <w:rFonts w:hint="eastAsia" w:ascii="宋体" w:hAnsi="宋体" w:eastAsia="宋体" w:cs="宋体"/>
          <w:color w:val="auto"/>
          <w:highlight w:val="none"/>
        </w:rPr>
        <w:t xml:space="preserve">查</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26.1响应文件审查分为资格审查和符合性审查。</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26.1.1 资格审查：由磋商小组依据法律法规和磋商文件的规定，对响应文件中的资格证明文件进行审查，以确定供应商是否具备参加磋商的资格。</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查询结果留存并归档。</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联合体成员中任何一方存在不良信用记录的，视同联合体存在不良应用记录。</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26.2在详细评审之前，磋商小组将首先审查每份响应文件是否实质性响应了磋商文件的要求。实质性响应的响应文件</w:t>
      </w:r>
      <w:r>
        <w:rPr>
          <w:rFonts w:hint="eastAsia" w:ascii="宋体" w:hAnsi="宋体" w:eastAsia="宋体" w:cs="宋体"/>
          <w:color w:val="auto"/>
          <w:highlight w:val="none"/>
          <w:lang w:eastAsia="zh-CN"/>
        </w:rPr>
        <w:t xml:space="preserve">应该</w:t>
      </w:r>
      <w:r>
        <w:rPr>
          <w:rFonts w:hint="eastAsia" w:ascii="宋体" w:hAnsi="宋体" w:eastAsia="宋体" w:cs="宋体"/>
          <w:color w:val="auto"/>
          <w:highlight w:val="none"/>
        </w:rPr>
        <w:t xml:space="preserve">与磋商文件要求的条款、条件和规格相符，没有重大偏离或保留。</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26.3未实质性响应磋商文件的情形</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26.3.4供应商不具备磋商文件中规定资格要求的。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26.3.6不符合磋商文件中规定的实质性要求和条件的</w:t>
      </w:r>
      <w:r>
        <w:rPr>
          <w:rFonts w:hint="eastAsia" w:ascii="宋体" w:hAnsi="宋体" w:eastAsia="宋体" w:cs="宋体"/>
          <w:i/>
          <w:color w:val="auto"/>
          <w:highlight w:val="none"/>
          <w:u w:val="single"/>
        </w:rPr>
        <w:t xml:space="preserve">（本磋商文件中斜体且有下划线部分为实质性要求和条件）。</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26.3.8  响应文件含有采购人不能接受的附加条件的。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26.3.10 供应商不能证明其报价合理性的，磋商小组应当将其作为无效响应处理。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（1）评审过程中出现下列情形之一的，磋商小组应当启动异常低价响应审查程序：</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①响应报价低于采购项目预算50%的，即响应报价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采购项目预算×50%；</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②响应报价低于采购项目最高限价45%的，即响应报价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采购项目最高限价×45%；</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③磋商小组认定的供应商报价过低、有可能影响产品质量或者不能诚信履约的其他情形。</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26.3.11 响应文件未按照磋商文件要求加盖CA电子公章的。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26.4未实质性响应磋商文件的响应文件按无效响应处理。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26.5如果响应文件实质上没有响应磋商文件的要求，磋商小组将予以拒绝，供应商不得通过修改或撤销不符合要求的偏离或保留而使其成为实质性响应的文件。</w:t>
      </w:r>
      <w:r/>
    </w:p>
    <w:p>
      <w:pPr>
        <w:pStyle w:val="864"/>
        <w:ind w:firstLine="480"/>
        <w:jc w:val="both"/>
        <w:spacing w:beforeAutospacing="0" w:afterAutospacing="0" w:line="480" w:lineRule="exact"/>
        <w:rPr>
          <w:rFonts w:ascii="宋体" w:hAnsi="宋体" w:eastAsia="宋体" w:cs="宋体"/>
          <w:color w:val="auto"/>
          <w:highlight w:val="none"/>
        </w:rPr>
      </w:pPr>
      <w:r/>
      <w:bookmarkStart w:id="132" w:name="_Toc513029234"/>
      <w:r/>
      <w:bookmarkStart w:id="133" w:name="_Toc20823306"/>
      <w:r/>
      <w:bookmarkStart w:id="134" w:name="_Toc16938550"/>
      <w:r>
        <w:rPr>
          <w:rFonts w:hint="eastAsia" w:ascii="宋体" w:hAnsi="宋体" w:eastAsia="宋体" w:cs="宋体"/>
          <w:color w:val="auto"/>
          <w:highlight w:val="none"/>
        </w:rPr>
        <w:t xml:space="preserve">26.6供应商在项目评审全过程中应保持通信畅通，并安排专人与代理机构及磋商小组联系。</w:t>
      </w:r>
      <w:bookmarkEnd w:id="132"/>
      <w:r/>
      <w:bookmarkEnd w:id="133"/>
      <w:r/>
      <w:bookmarkEnd w:id="134"/>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27.</w:t>
      </w:r>
      <w:r>
        <w:rPr>
          <w:rFonts w:hint="eastAsia" w:ascii="宋体" w:hAnsi="宋体" w:eastAsia="宋体" w:cs="宋体"/>
          <w:color w:val="auto"/>
          <w:highlight w:val="none"/>
        </w:rPr>
        <w:t xml:space="preserve">磋商程序及评审方法和评审标准</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27.1磋商程序</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否则视为未提交最后报价。已提交响应文件的供应商，在提交最后报价之前，可以根据磋商情况退出磋商，并在苏采云系统中提交“退出磋商函”并加盖CA电子公章。</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27.2 评审方法和评审标准</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27.2.2评审标准</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见本磋商文件第五章规定。</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27.3采购活动终止的情况</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27.3.2出现影响采购公正的违法、违规行为的。</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27.3.3除本磋商文件第二章第27.1.2条第三款规定的情形外，在磋商过程中符合要求的供应商或者最后报价未超过采购预算的供应商不足3家的。</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864"/>
        <w:ind w:firstLine="482"/>
        <w:jc w:val="both"/>
        <w:keepLines/>
        <w:keepNext/>
        <w:spacing w:beforeAutospacing="0" w:afterAutospacing="0" w:line="480" w:lineRule="exact"/>
        <w:rPr>
          <w:rFonts w:ascii="宋体" w:hAnsi="宋体" w:eastAsia="宋体" w:cs="宋体"/>
          <w:color w:val="auto"/>
          <w:highlight w:val="none"/>
        </w:rPr>
      </w:pPr>
      <w:r/>
      <w:bookmarkStart w:id="135" w:name="_Toc513029235"/>
      <w:r/>
      <w:bookmarkStart w:id="136" w:name="_Toc20823307"/>
      <w:r/>
      <w:bookmarkStart w:id="137" w:name="_Toc120614219"/>
      <w:r/>
      <w:bookmarkStart w:id="138" w:name="_Toc16938551"/>
      <w:r>
        <w:rPr>
          <w:rFonts w:hint="eastAsia" w:ascii="宋体" w:hAnsi="宋体" w:eastAsia="宋体" w:cs="宋体"/>
          <w:b/>
          <w:color w:val="auto"/>
          <w:highlight w:val="none"/>
        </w:rPr>
        <w:t xml:space="preserve">六、</w:t>
      </w:r>
      <w:bookmarkEnd w:id="135"/>
      <w:r/>
      <w:bookmarkEnd w:id="136"/>
      <w:r/>
      <w:bookmarkEnd w:id="137"/>
      <w:r/>
      <w:bookmarkEnd w:id="138"/>
      <w:r>
        <w:rPr>
          <w:rFonts w:hint="eastAsia" w:ascii="宋体" w:hAnsi="宋体" w:eastAsia="宋体" w:cs="宋体"/>
          <w:b/>
          <w:color w:val="auto"/>
          <w:highlight w:val="none"/>
        </w:rPr>
        <w:t xml:space="preserve">成交</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39" w:name="_Toc20823310"/>
      <w:r/>
      <w:bookmarkStart w:id="140" w:name="_Toc513029238"/>
      <w:r/>
      <w:bookmarkStart w:id="141" w:name="_Toc16938554"/>
      <w:r>
        <w:rPr>
          <w:rFonts w:hint="eastAsia" w:ascii="宋体" w:hAnsi="宋体" w:eastAsia="宋体" w:cs="宋体"/>
          <w:color w:val="auto"/>
          <w:highlight w:val="none"/>
          <w:lang w:eastAsia="zh-CN"/>
        </w:rPr>
        <w:t xml:space="preserve">28.</w:t>
      </w:r>
      <w:bookmarkEnd w:id="139"/>
      <w:r>
        <w:rPr>
          <w:rFonts w:hint="eastAsia" w:ascii="宋体" w:hAnsi="宋体" w:eastAsia="宋体" w:cs="宋体"/>
          <w:color w:val="auto"/>
          <w:highlight w:val="none"/>
        </w:rPr>
        <w:t xml:space="preserve">确定</w:t>
      </w:r>
      <w:bookmarkEnd w:id="140"/>
      <w:r/>
      <w:bookmarkEnd w:id="141"/>
      <w:r>
        <w:rPr>
          <w:rFonts w:hint="eastAsia" w:ascii="宋体" w:hAnsi="宋体" w:eastAsia="宋体" w:cs="宋体"/>
          <w:color w:val="auto"/>
          <w:highlight w:val="none"/>
        </w:rPr>
        <w:t xml:space="preserve">成交单位</w:t>
      </w:r>
      <w:r/>
    </w:p>
    <w:p>
      <w:pPr>
        <w:pStyle w:val="864"/>
        <w:ind w:firstLine="480"/>
        <w:jc w:val="both"/>
        <w:spacing w:beforeAutospacing="0" w:afterAutospacing="0" w:line="480" w:lineRule="exact"/>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江苏政府采购网”“盐城市政府采购网”发布成交结果公告，公告期限为1个工作日。</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28.3若有充分证据证明，成交供应商出现下列情况之一的，一经查实，将被取消成交资格：</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28.3.2与评审专家、采购人、其他供应商或者代理机构工作人员恶意串通的。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28.3.3向评审专家、采购人或代理机构工作人员行贿或者提供其他不正当利益的。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42" w:name="_Toc200451960"/>
      <w:r>
        <w:rPr>
          <w:rFonts w:hint="eastAsia" w:ascii="宋体" w:hAnsi="宋体" w:eastAsia="宋体" w:cs="宋体"/>
          <w:color w:val="auto"/>
          <w:highlight w:val="none"/>
          <w:lang w:eastAsia="zh-CN"/>
        </w:rPr>
        <w:t xml:space="preserve">29.</w:t>
      </w:r>
      <w:r>
        <w:rPr>
          <w:rFonts w:hint="eastAsia" w:ascii="宋体" w:hAnsi="宋体" w:eastAsia="宋体" w:cs="宋体"/>
          <w:color w:val="auto"/>
          <w:highlight w:val="none"/>
        </w:rPr>
        <w:t xml:space="preserve">质疑处理</w:t>
      </w:r>
      <w:bookmarkEnd w:id="142"/>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提出质疑的供应商应当是参与所质疑项目采购活动的供应商。潜在供应商依法获取其可质疑的磋商文件的，可以对磋商文件提出质疑。</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29.2供应商认为磋商文件、磋商过程和磋商结果使自己的权益受到损害的，可以在知道或应知其权益受到损害之日起七个工作日内，以书面形式根据下述29.4条款的规定向采购人提出质疑。上述应知其权益受到损害之日，是指：</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29.2.1对可以质疑的磋商文件提出质疑的，为收到磋商文件之日或者磋商文件公告期限届满之日。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29.2.2对磋商过程提出质疑的，为各采购程序环节结束之日。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29.2.3对成交结果提出质疑的，为成交结果公告期限届满之日。</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采购人提出，由采购人负责答复。</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采购人只接收以纸质原件形式送达的质疑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采购人不接受未填写快递运单的快件。</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29.5.4 未参加磋商活动的供应商或在磋商活动中自身权益未受到损害的供应商所提出的质疑。</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29.5.5供应商组成联合体参加磋商，联合体中任何一方或多方未按要求签字、盖章、加盖公章的质疑。</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30.</w:t>
      </w:r>
      <w:r>
        <w:rPr>
          <w:rFonts w:hint="eastAsia" w:ascii="宋体" w:hAnsi="宋体" w:eastAsia="宋体" w:cs="宋体"/>
          <w:color w:val="auto"/>
          <w:highlight w:val="none"/>
        </w:rPr>
        <w:t xml:space="preserve">成交通知书</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30.1成交结果确定后，采购人将向成交供应商发出成交通知书。请成交供应商在成交结果公告届满之日起30日内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因未及时下载而造成的不利后果由成交供应商自行承担。</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64"/>
        <w:ind w:firstLine="482"/>
        <w:jc w:val="both"/>
        <w:keepLines/>
        <w:keepNext/>
        <w:spacing w:beforeAutospacing="0" w:afterAutospacing="0" w:line="480" w:lineRule="exact"/>
        <w:rPr>
          <w:rFonts w:ascii="宋体" w:hAnsi="宋体" w:eastAsia="宋体" w:cs="宋体"/>
          <w:color w:val="auto"/>
          <w:highlight w:val="none"/>
        </w:rPr>
      </w:pPr>
      <w:r/>
      <w:bookmarkStart w:id="143" w:name="_Toc513029236"/>
      <w:r/>
      <w:bookmarkStart w:id="144" w:name="_Toc120614220"/>
      <w:r/>
      <w:bookmarkStart w:id="145" w:name="_Toc16938552"/>
      <w:r/>
      <w:bookmarkStart w:id="146" w:name="_Toc20823308"/>
      <w:r>
        <w:rPr>
          <w:rFonts w:hint="eastAsia" w:ascii="宋体" w:hAnsi="宋体" w:eastAsia="宋体" w:cs="宋体"/>
          <w:b/>
          <w:color w:val="auto"/>
          <w:highlight w:val="none"/>
        </w:rPr>
        <w:t xml:space="preserve">七、授予合同</w:t>
      </w:r>
      <w:bookmarkEnd w:id="143"/>
      <w:r/>
      <w:bookmarkEnd w:id="144"/>
      <w:r/>
      <w:bookmarkEnd w:id="145"/>
      <w:r/>
      <w:bookmarkEnd w:id="146"/>
      <w:r/>
      <w:r/>
    </w:p>
    <w:p>
      <w:pPr>
        <w:pStyle w:val="864"/>
        <w:ind w:firstLine="480"/>
        <w:jc w:val="both"/>
        <w:keepLines/>
        <w:keepNext/>
        <w:spacing w:beforeAutospacing="0" w:afterAutospacing="0" w:line="480" w:lineRule="exact"/>
        <w:rPr>
          <w:rFonts w:ascii="宋体" w:hAnsi="宋体" w:eastAsia="宋体" w:cs="宋体"/>
          <w:color w:val="auto"/>
          <w:highlight w:val="none"/>
        </w:rPr>
      </w:pPr>
      <w:r/>
      <w:bookmarkStart w:id="147" w:name="_Toc513029237"/>
      <w:r/>
      <w:bookmarkStart w:id="148" w:name="_Toc20823309"/>
      <w:r/>
      <w:bookmarkStart w:id="149" w:name="_Toc16938553"/>
      <w:r>
        <w:rPr>
          <w:rFonts w:hint="eastAsia" w:ascii="宋体" w:hAnsi="宋体" w:eastAsia="宋体" w:cs="宋体"/>
          <w:color w:val="auto"/>
          <w:highlight w:val="none"/>
        </w:rPr>
        <w:t xml:space="preserve">31.签订合同</w:t>
      </w:r>
      <w:bookmarkEnd w:id="147"/>
      <w:r/>
      <w:bookmarkEnd w:id="148"/>
      <w:r/>
      <w:bookmarkEnd w:id="149"/>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31.l成交供应商应当在成交通知书发出之日起三十日内，按照磋商文件确定的事项与采购人签订政府采购合同。</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31.2磋商文件、成交供应商的响应文件及磋商过程中有关澄清、承诺文件均应作为合同附件。</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否则采购人有权终止合同。转包或分包造成采购人损失的，成交供应商应承担相应赔偿责任。</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32.标的物的追加</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864"/>
        <w:ind w:firstLine="480"/>
        <w:jc w:val="both"/>
        <w:keepLines/>
        <w:keepNext/>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中小企业</w:t>
      </w:r>
      <w:r>
        <w:rPr>
          <w:rFonts w:hint="eastAsia" w:ascii="宋体" w:hAnsi="宋体" w:eastAsia="宋体" w:cs="宋体"/>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33.3.7本项目是否专门面向中小企业预留采购份额见第一章《竞争性磋商公告》。</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33.4.1</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w:t>
      </w:r>
      <w:r>
        <w:rPr>
          <w:rFonts w:hint="eastAsia" w:ascii="宋体" w:hAnsi="宋体" w:eastAsia="宋体" w:cs="宋体"/>
          <w:color w:val="auto"/>
          <w:sz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在供货、安装过程中能做到低碳物流、环保节约、提高资源利用率。</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80"/>
        <w:spacing w:line="48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auto"/>
          <w:sz w:val="24"/>
          <w:highlight w:val="none"/>
        </w:rPr>
        <w:t xml:space="preserve">。</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本文件中若</w:t>
      </w:r>
      <w:r>
        <w:rPr>
          <w:rFonts w:hint="eastAsia" w:ascii="宋体" w:hAnsi="宋体" w:eastAsia="宋体" w:cs="宋体"/>
          <w:color w:val="auto"/>
          <w:sz w:val="24"/>
          <w:highlight w:val="none"/>
          <w:lang w:eastAsia="zh-CN"/>
        </w:rPr>
        <w:t xml:space="preserve">涉及</w:t>
      </w:r>
      <w:r>
        <w:rPr>
          <w:rFonts w:hint="eastAsia" w:ascii="宋体" w:hAnsi="宋体" w:eastAsia="宋体" w:cs="宋体"/>
          <w:color w:val="auto"/>
          <w:sz w:val="24"/>
          <w:highlight w:val="none"/>
        </w:rPr>
        <w:t xml:space="preserve">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highlight w:val="none"/>
        </w:rPr>
        <w:t xml:space="preserve">磋商</w:t>
      </w:r>
      <w:r>
        <w:rPr>
          <w:rFonts w:hint="eastAsia" w:ascii="宋体" w:hAnsi="宋体" w:eastAsia="宋体" w:cs="宋体"/>
          <w:color w:val="auto"/>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w:t>
      </w:r>
      <w:r>
        <w:rPr>
          <w:rFonts w:hint="eastAsia" w:ascii="宋体" w:hAnsi="宋体" w:eastAsia="宋体" w:cs="宋体"/>
          <w:color w:val="auto"/>
          <w:sz w:val="24"/>
          <w:highlight w:val="none"/>
          <w:lang w:eastAsia="zh-CN"/>
        </w:rPr>
        <w:t xml:space="preserve">可以</w:t>
      </w:r>
      <w:r>
        <w:rPr>
          <w:rFonts w:hint="eastAsia" w:ascii="宋体" w:hAnsi="宋体" w:eastAsia="宋体" w:cs="宋体"/>
          <w:color w:val="auto"/>
          <w:sz w:val="24"/>
          <w:highlight w:val="none"/>
        </w:rPr>
        <w:t xml:space="preserve">要求供应商在验收阶段提供相关检测报告、认证报告。</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33.8履约保证金政策</w:t>
      </w:r>
      <w:r/>
    </w:p>
    <w:p>
      <w:pPr>
        <w:pStyle w:val="880"/>
        <w:ind w:left="0" w:firstLine="480"/>
        <w:spacing w:after="0"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spacing w:line="48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34. 预付款制度</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35.</w:t>
      </w:r>
      <w:r>
        <w:rPr>
          <w:rFonts w:hint="eastAsia" w:ascii="宋体" w:hAnsi="宋体" w:eastAsia="宋体" w:cs="宋体"/>
          <w:color w:val="auto"/>
          <w:highlight w:val="none"/>
        </w:rPr>
        <w:t xml:space="preserve">代理服务费</w:t>
      </w:r>
      <w:r/>
    </w:p>
    <w:p>
      <w:pPr>
        <w:pStyle w:val="864"/>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代理服务费由采购人支付，按项目成交金额</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苏招协</w:t>
      </w:r>
      <w:r>
        <w:rPr>
          <w:rFonts w:hint="eastAsia" w:ascii="宋体" w:hAnsi="宋体" w:eastAsia="宋体" w:cs="宋体"/>
          <w:color w:val="auto"/>
          <w:highlight w:val="none"/>
          <w:lang w:eastAsia="zh-CN"/>
        </w:rPr>
        <w:t xml:space="preserve">〔2022〕2号</w:t>
      </w:r>
      <w:r>
        <w:rPr>
          <w:rFonts w:hint="eastAsia" w:ascii="宋体" w:hAnsi="宋体" w:eastAsia="宋体" w:cs="宋体"/>
          <w:color w:val="auto"/>
          <w:highlight w:val="none"/>
        </w:rPr>
        <w:t xml:space="preserve">标准×16.79%（成交百分比）计取招标代理服务费。</w:t>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480" w:lineRule="exact"/>
        <w:rPr>
          <w:rFonts w:ascii="宋体" w:hAnsi="宋体" w:eastAsia="宋体" w:cs="宋体"/>
          <w:color w:val="auto"/>
          <w:highlight w:val="none"/>
        </w:rPr>
      </w:pPr>
      <w:r>
        <w:rPr>
          <w:rFonts w:ascii="宋体" w:hAnsi="宋体" w:eastAsia="宋体" w:cs="宋体"/>
          <w:color w:val="auto"/>
          <w:highlight w:val="none"/>
        </w:rPr>
      </w:r>
      <w:r/>
    </w:p>
    <w:p>
      <w:pPr>
        <w:pStyle w:val="864"/>
        <w:ind w:firstLine="880"/>
        <w:jc w:val="center"/>
        <w:spacing w:beforeAutospacing="0" w:afterAutospacing="0" w:line="480" w:lineRule="exact"/>
        <w:rPr>
          <w:color w:val="auto"/>
          <w:highlight w:val="none"/>
        </w:rPr>
      </w:pPr>
      <w:r>
        <w:rPr>
          <w:rFonts w:hint="eastAsia" w:ascii="黑体" w:hAnsi="宋体" w:eastAsia="黑体" w:cs="黑体"/>
          <w:color w:val="auto"/>
          <w:sz w:val="44"/>
          <w:szCs w:val="44"/>
          <w:highlight w:val="none"/>
        </w:rPr>
        <w:t xml:space="preserve">第三章  合同文本</w:t>
      </w:r>
      <w:r/>
    </w:p>
    <w:p>
      <w:pPr>
        <w:pStyle w:val="864"/>
        <w:ind w:firstLine="480"/>
        <w:jc w:val="both"/>
        <w:spacing w:beforeAutospacing="0" w:afterAutospacing="0" w:line="480" w:lineRule="exact"/>
        <w:rPr>
          <w:rFonts w:ascii="宋体" w:hAnsi="宋体" w:eastAsia="宋体" w:cs="宋体"/>
          <w:color w:val="auto"/>
          <w:highlight w:val="none"/>
        </w:rPr>
      </w:pPr>
      <w:r/>
      <w:bookmarkStart w:id="150" w:name="_Toc20823315"/>
      <w:r/>
      <w:bookmarkStart w:id="151" w:name="_Toc16938559"/>
      <w:r/>
      <w:bookmarkStart w:id="152" w:name="_Toc513029243"/>
      <w:r/>
      <w:r/>
    </w:p>
    <w:p>
      <w:pPr>
        <w:pStyle w:val="864"/>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以下为成交后签订本项目合同的通用条款，成交供应商不得提出实质性的修改。</w:t>
      </w:r>
      <w:bookmarkEnd w:id="150"/>
      <w:r/>
      <w:bookmarkEnd w:id="151"/>
      <w:r/>
      <w:bookmarkEnd w:id="152"/>
      <w:r/>
      <w:r/>
    </w:p>
    <w:p>
      <w:pPr>
        <w:pStyle w:val="864"/>
        <w:jc w:val="center"/>
        <w:spacing w:before="145" w:beforeAutospacing="0" w:after="145" w:afterAutospacing="0" w:line="480" w:lineRule="exact"/>
        <w:rPr>
          <w:color w:val="auto"/>
          <w:highlight w:val="none"/>
        </w:rPr>
      </w:pPr>
      <w:r>
        <w:rPr>
          <w:rFonts w:hint="eastAsia" w:ascii="宋体" w:hAnsi="宋体" w:eastAsia="宋体" w:cs="宋体"/>
          <w:b/>
          <w:color w:val="auto"/>
          <w:sz w:val="30"/>
          <w:szCs w:val="30"/>
          <w:highlight w:val="none"/>
        </w:rPr>
        <w:t xml:space="preserve">盐城市政府采购合同（合同编号）</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项目编号：</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甲方：（买方）_________</w:t>
      </w:r>
      <w:r/>
    </w:p>
    <w:p>
      <w:pPr>
        <w:pStyle w:val="864"/>
        <w:ind w:firstLine="480"/>
        <w:jc w:val="both"/>
        <w:spacing w:beforeAutospacing="0" w:afterAutospacing="0" w:line="46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乙方：（卖方）_________</w:t>
      </w:r>
      <w:r/>
    </w:p>
    <w:p>
      <w:pPr>
        <w:pStyle w:val="864"/>
        <w:ind w:firstLine="480"/>
        <w:jc w:val="both"/>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lang w:eastAsia="zh-CN"/>
        </w:rPr>
        <w:t xml:space="preserve">东台市低效用地再开发试点工作项目</w:t>
      </w:r>
      <w:r>
        <w:rPr>
          <w:rFonts w:hint="eastAsia" w:ascii="宋体" w:hAnsi="宋体" w:eastAsia="宋体" w:cs="宋体"/>
          <w:color w:val="auto"/>
          <w:highlight w:val="none"/>
        </w:rPr>
        <w:t xml:space="preserve">竞争性磋商的结果，签署本合同。</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一、合同内容</w:t>
      </w:r>
      <w:r/>
    </w:p>
    <w:p>
      <w:pPr>
        <w:pStyle w:val="864"/>
        <w:ind w:firstLine="480"/>
        <w:jc w:val="both"/>
        <w:spacing w:beforeAutospacing="0" w:afterAutospacing="0" w:line="460" w:lineRule="exact"/>
        <w:rPr>
          <w:rFonts w:hint="eastAsia" w:eastAsia="宋体"/>
          <w:color w:val="auto"/>
          <w:highlight w:val="none"/>
          <w:lang w:eastAsia="zh-CN"/>
        </w:rPr>
      </w:pPr>
      <w:r>
        <w:rPr>
          <w:rFonts w:hint="eastAsia" w:ascii="宋体" w:hAnsi="宋体" w:eastAsia="宋体" w:cs="宋体"/>
          <w:color w:val="auto"/>
          <w:highlight w:val="none"/>
        </w:rPr>
        <w:t xml:space="preserve">1.1 标的名称：</w:t>
      </w:r>
      <w:r>
        <w:rPr>
          <w:rFonts w:hint="eastAsia" w:ascii="宋体" w:hAnsi="宋体" w:eastAsia="宋体" w:cs="宋体"/>
          <w:color w:val="auto"/>
          <w:highlight w:val="none"/>
          <w:lang w:eastAsia="zh-CN"/>
        </w:rPr>
        <w:t xml:space="preserve">东台市低效用地再开发试点工作项目</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 质量要求：成果须符合国家、省、市相关要求，并通过</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验收。</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 采购内容：详见磋商文件第四章。</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 履行时间（期限）：根据国家、省、市自然资源主管部门的低效用地再开发工作和时间节点等要求提交相应成果。</w:t>
      </w:r>
      <w:r/>
    </w:p>
    <w:p>
      <w:pPr>
        <w:pStyle w:val="864"/>
        <w:ind w:firstLine="480"/>
        <w:jc w:val="both"/>
        <w:spacing w:beforeAutospacing="0" w:afterAutospacing="0" w:line="460" w:lineRule="exact"/>
        <w:rPr>
          <w:rFonts w:eastAsia="宋体"/>
          <w:color w:val="auto"/>
          <w:highlight w:val="none"/>
        </w:rPr>
      </w:pPr>
      <w:r>
        <w:rPr>
          <w:rFonts w:hint="eastAsia" w:ascii="宋体" w:hAnsi="宋体" w:eastAsia="宋体" w:cs="宋体"/>
          <w:color w:val="auto"/>
          <w:highlight w:val="none"/>
        </w:rPr>
        <w:t xml:space="preserve">1.5 履行地点：东台市</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二、合同金额</w:t>
      </w:r>
      <w:r/>
    </w:p>
    <w:p>
      <w:pPr>
        <w:ind w:firstLine="482"/>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2.1 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三、技术资料</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四、知识产权</w:t>
      </w:r>
      <w:r/>
    </w:p>
    <w:p>
      <w:pPr>
        <w:pStyle w:val="864"/>
        <w:ind w:firstLine="480"/>
        <w:jc w:val="both"/>
        <w:spacing w:beforeAutospacing="0" w:afterAutospacing="0" w:line="460" w:lineRule="exact"/>
        <w:rPr>
          <w:rFonts w:eastAsia="宋体"/>
          <w:color w:val="auto"/>
          <w:highlight w:val="none"/>
        </w:rPr>
      </w:pPr>
      <w:r>
        <w:rPr>
          <w:rFonts w:hint="eastAsia" w:ascii="宋体" w:hAnsi="宋体" w:eastAsia="宋体" w:cs="宋体"/>
          <w:color w:val="auto"/>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color w:val="auto"/>
          <w:highlight w:val="none"/>
        </w:rPr>
        <w:t xml:space="preserve">同时消除对甲方产生的不良影响并赔偿相应损失。</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五、产权担保</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六、履约保证金</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6.1 乙方交纳人民币</w:t>
      </w:r>
      <w:r>
        <w:rPr>
          <w:rFonts w:hint="eastAsia" w:ascii="宋体" w:hAnsi="宋体" w:eastAsia="宋体" w:cs="宋体"/>
          <w:color w:val="auto"/>
          <w:highlight w:val="none"/>
          <w:u w:val="single"/>
        </w:rPr>
        <w:t xml:space="preserve">合同金额的5%</w:t>
      </w:r>
      <w:r>
        <w:rPr>
          <w:rFonts w:hint="eastAsia" w:ascii="宋体" w:hAnsi="宋体" w:eastAsia="宋体" w:cs="宋体"/>
          <w:color w:val="auto"/>
          <w:highlight w:val="none"/>
        </w:rPr>
        <w:t xml:space="preserve">作为本合同的履约保证金。</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6.2确需收取履约保证金的，履约保证金的缴纳形式：</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6.2.2 如以履约保函（保险）形式缴纳履约保证金，供应商可通过政府采购电子履约保函（保险）平台（www.jsdzbh.com）在线申请履约保函（保险）。</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6.2.3 乙方如提供第三方信用服务机构依据标准规范评定的AA 级及以上信用报告的（需在签订采购合同前提供信用管理部门备案的第三方信用报告，且信用报告通过“信用盐城网”可查实），免收履约保证金。</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6.3合同履行结束后，甲方应及时退还交纳的履约保证金。</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6.4履约保证金的退还：</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6.4.1方式：无息退还至供应商缴纳履约保证金的账户。如为保函，在到期时自行失效。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6.4.2时间：验收合格且采购人收到发票后30日内。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6.4.3条件：按合同要求全部履约完成并经采购人验收合格，且采购人收到成交人出具的发票。</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6.4.4不予退还情形：</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除不可抗力情况外，供应商出现下列情形之一的，其履约保证金，招标人将视情节决定不予退还或部分不予退还。</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（1）成交人无正当理由拒绝签订合同的，或者在签订合同时向采购人提出附加条件或者更改合同实质性内容要求的；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（2）成交人不履行与采购人订立的合同的；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（3）成交人所供货物或服务不符合招标文件规定要求的；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（4）成交人采取欺骗、弄虚作假方式投标的或与其他供应商串通投标的；</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（5）成交人将合同内容转包、违法分包的；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（6）成交人故意捏造事实或伪造证明材料，进行虚假恶意投诉或反映的。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6.4.5逾期退还的违约责任：采购人逾期无故未退还履约保证金的，按中国人民银行同期贷款基准利率上浮20%后的利率支付</w:t>
      </w:r>
      <w:r>
        <w:rPr>
          <w:rFonts w:hint="eastAsia" w:ascii="宋体" w:hAnsi="宋体" w:eastAsia="宋体" w:cs="宋体"/>
          <w:color w:val="auto"/>
          <w:sz w:val="24"/>
          <w:highlight w:val="none"/>
          <w:lang w:eastAsia="zh-CN"/>
        </w:rPr>
        <w:t xml:space="preserve">逾期</w:t>
      </w:r>
      <w:r>
        <w:rPr>
          <w:rFonts w:hint="eastAsia" w:ascii="宋体" w:hAnsi="宋体" w:eastAsia="宋体" w:cs="宋体"/>
          <w:color w:val="auto"/>
          <w:sz w:val="24"/>
          <w:highlight w:val="none"/>
        </w:rPr>
        <w:t xml:space="preserve">资金占用费，但因供应商自身原因导致无法及时退还的除外。</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lang w:val="en-US" w:eastAsia="zh-CN"/>
        </w:rPr>
        <w:t xml:space="preserve">七</w:t>
      </w:r>
      <w:r>
        <w:rPr>
          <w:rFonts w:hint="eastAsia" w:ascii="宋体" w:hAnsi="宋体" w:eastAsia="宋体" w:cs="宋体"/>
          <w:b/>
          <w:color w:val="auto"/>
          <w:highlight w:val="none"/>
        </w:rPr>
        <w:t xml:space="preserve">、合同款项支付</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 合同签订后支付合同金额30%的预付款；</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 </w:t>
      </w:r>
      <w:r>
        <w:rPr>
          <w:rFonts w:hint="eastAsia" w:ascii="宋体" w:hAnsi="宋体" w:eastAsia="宋体" w:cs="宋体"/>
          <w:color w:val="auto"/>
          <w:highlight w:val="none"/>
          <w:lang w:eastAsia="zh-CN"/>
        </w:rPr>
        <w:t xml:space="preserve">调查入库成果及2026年度实施计划成果在通过专家验收或上级行政主管部门审查备案后再支付合同总价款30%；2027—2030年每年度实施计划成果在通过专家验收或上级行政主管部门审查备案后分别支付合同总价款10%。甲方付款前，乙方需提供相应金额的有效票据。</w:t>
      </w:r>
      <w:r>
        <w:rPr>
          <w:rFonts w:hint="eastAsia" w:ascii="宋体" w:hAnsi="宋体" w:eastAsia="宋体" w:cs="宋体"/>
          <w:color w:val="auto"/>
          <w:highlight w:val="none"/>
        </w:rPr>
        <w:t xml:space="preserve">（以上付款均无银行利息）。</w:t>
      </w:r>
      <w:r/>
    </w:p>
    <w:p>
      <w:pPr>
        <w:pStyle w:val="864"/>
        <w:ind w:firstLine="480"/>
        <w:jc w:val="both"/>
        <w:keepLines w:val="0"/>
        <w:keepNext w:val="0"/>
        <w:pageBreakBefore w:val="0"/>
        <w:spacing w:beforeAutospacing="0" w:afterAutospacing="0" w:line="42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 在签订合同时，乙方明确表示无需预付款或者主动要求降低预付款比例的，甲方可不适用上述关于预付款的规定。</w:t>
      </w:r>
      <w:r/>
    </w:p>
    <w:p>
      <w:pPr>
        <w:pStyle w:val="864"/>
        <w:ind w:firstLine="480"/>
        <w:jc w:val="both"/>
        <w:keepLines w:val="0"/>
        <w:keepNext w:val="0"/>
        <w:pageBreakBefore w:val="0"/>
        <w:spacing w:beforeAutospacing="0" w:afterAutospacing="0" w:line="42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.4 甲方原则上自收到发票后10个工作日内将资金支付到乙方账户。</w:t>
      </w:r>
      <w:r/>
    </w:p>
    <w:p>
      <w:pPr>
        <w:pStyle w:val="864"/>
        <w:ind w:firstLine="482"/>
        <w:jc w:val="both"/>
        <w:keepLines w:val="0"/>
        <w:keepNext w:val="0"/>
        <w:pageBreakBefore w:val="0"/>
        <w:spacing w:beforeAutospacing="0" w:afterAutospacing="0" w:line="420" w:lineRule="exact"/>
        <w:widowControl w:val="off"/>
        <w:rPr>
          <w:color w:val="auto"/>
          <w:highlight w:val="none"/>
        </w:rPr>
      </w:pPr>
      <w:r>
        <w:rPr>
          <w:rFonts w:hint="eastAsia" w:ascii="宋体" w:hAnsi="宋体" w:eastAsia="宋体" w:cs="宋体"/>
          <w:b/>
          <w:color w:val="auto"/>
          <w:highlight w:val="none"/>
          <w:lang w:val="en-US" w:eastAsia="zh-CN"/>
        </w:rPr>
        <w:t xml:space="preserve">八</w:t>
      </w:r>
      <w:r>
        <w:rPr>
          <w:rFonts w:hint="eastAsia" w:ascii="宋体" w:hAnsi="宋体" w:eastAsia="宋体" w:cs="宋体"/>
          <w:b/>
          <w:color w:val="auto"/>
          <w:highlight w:val="none"/>
        </w:rPr>
        <w:t xml:space="preserve">、税费</w:t>
      </w:r>
      <w:r/>
    </w:p>
    <w:p>
      <w:pPr>
        <w:pStyle w:val="864"/>
        <w:ind w:firstLine="480"/>
        <w:jc w:val="both"/>
        <w:keepLines w:val="0"/>
        <w:keepNext w:val="0"/>
        <w:pageBreakBefore w:val="0"/>
        <w:spacing w:beforeAutospacing="0" w:afterAutospacing="0" w:line="420" w:lineRule="exact"/>
        <w:widowControl w:val="off"/>
        <w:rPr>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.1本合同执行中相关的一切税费均由乙方负担。</w:t>
      </w:r>
      <w:r/>
    </w:p>
    <w:p>
      <w:pPr>
        <w:pStyle w:val="864"/>
        <w:ind w:firstLine="482"/>
        <w:jc w:val="both"/>
        <w:keepLines w:val="0"/>
        <w:keepNext w:val="0"/>
        <w:pageBreakBefore w:val="0"/>
        <w:spacing w:beforeAutospacing="0" w:afterAutospacing="0" w:line="420" w:lineRule="exact"/>
        <w:widowControl w:val="off"/>
        <w:rPr>
          <w:color w:val="auto"/>
          <w:highlight w:val="none"/>
        </w:rPr>
      </w:pPr>
      <w:r>
        <w:rPr>
          <w:rFonts w:hint="eastAsia" w:ascii="宋体" w:hAnsi="宋体" w:eastAsia="宋体" w:cs="宋体"/>
          <w:b/>
          <w:color w:val="auto"/>
          <w:highlight w:val="none"/>
          <w:lang w:val="en-US" w:eastAsia="zh-CN"/>
        </w:rPr>
        <w:t xml:space="preserve">九</w:t>
      </w:r>
      <w:r>
        <w:rPr>
          <w:rFonts w:hint="eastAsia" w:ascii="宋体" w:hAnsi="宋体" w:eastAsia="宋体" w:cs="宋体"/>
          <w:b/>
          <w:color w:val="auto"/>
          <w:highlight w:val="none"/>
        </w:rPr>
        <w:t xml:space="preserve">、项目验收</w:t>
      </w:r>
      <w:r/>
    </w:p>
    <w:p>
      <w:pPr>
        <w:pStyle w:val="864"/>
        <w:ind w:firstLine="480"/>
        <w:jc w:val="both"/>
        <w:keepLines w:val="0"/>
        <w:keepNext w:val="0"/>
        <w:pageBreakBefore w:val="0"/>
        <w:spacing w:beforeAutospacing="0" w:afterAutospacing="0" w:line="42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 乙方提交的相关成果须通过上级自然</w:t>
      </w:r>
      <w:r>
        <w:rPr>
          <w:rFonts w:ascii="宋体" w:hAnsi="宋体" w:eastAsia="宋体" w:cs="宋体"/>
          <w:color w:val="auto"/>
          <w:highlight w:val="none"/>
        </w:rPr>
        <w:t xml:space="preserve">资源主管部门</w:t>
      </w:r>
      <w:r>
        <w:rPr>
          <w:rFonts w:hint="eastAsia" w:ascii="宋体" w:hAnsi="宋体" w:eastAsia="宋体" w:cs="宋体"/>
          <w:color w:val="auto"/>
          <w:highlight w:val="none"/>
        </w:rPr>
        <w:t xml:space="preserve">审核。</w:t>
      </w:r>
      <w:r/>
    </w:p>
    <w:p>
      <w:pPr>
        <w:pStyle w:val="864"/>
        <w:ind w:firstLine="480"/>
        <w:jc w:val="both"/>
        <w:keepLines w:val="0"/>
        <w:keepNext w:val="0"/>
        <w:pageBreakBefore w:val="0"/>
        <w:spacing w:beforeAutospacing="0" w:afterAutospacing="0" w:line="420" w:lineRule="exact"/>
        <w:widowControl w:val="off"/>
        <w:rPr>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4"/>
        <w:ind w:firstLine="482"/>
        <w:jc w:val="both"/>
        <w:keepLines w:val="0"/>
        <w:keepNext w:val="0"/>
        <w:pageBreakBefore w:val="0"/>
        <w:spacing w:beforeAutospacing="0" w:afterAutospacing="0" w:line="420" w:lineRule="exact"/>
        <w:widowControl w:val="off"/>
        <w:rPr>
          <w:rFonts w:ascii="宋体" w:hAnsi="宋体" w:eastAsia="宋体" w:cs="宋体"/>
          <w:b/>
          <w:color w:val="auto"/>
          <w:highlight w:val="none"/>
        </w:rPr>
      </w:pPr>
      <w:r>
        <w:rPr>
          <w:rFonts w:hint="eastAsia" w:ascii="宋体" w:hAnsi="宋体" w:eastAsia="宋体" w:cs="宋体"/>
          <w:b/>
          <w:color w:val="auto"/>
          <w:highlight w:val="none"/>
        </w:rPr>
        <w:t xml:space="preserve">十、安全与保密</w:t>
      </w:r>
      <w:r/>
    </w:p>
    <w:p>
      <w:pPr>
        <w:pStyle w:val="864"/>
        <w:ind w:firstLine="480"/>
        <w:jc w:val="both"/>
        <w:keepLines w:val="0"/>
        <w:keepNext w:val="0"/>
        <w:pageBreakBefore w:val="0"/>
        <w:spacing w:beforeAutospacing="0" w:afterAutospacing="0" w:line="42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0</w:t>
      </w:r>
      <w:r>
        <w:rPr>
          <w:rFonts w:hint="eastAsia" w:ascii="宋体" w:hAnsi="宋体" w:eastAsia="宋体" w:cs="宋体"/>
          <w:bCs/>
          <w:color w:val="auto"/>
          <w:highlight w:val="none"/>
        </w:rPr>
        <w:t xml:space="preserve">.1 项目服务过程中涉及的涉密和敏感图文资料、电子数据，编制单位应严格执行保密的相关规定，不得以任何方式向任何第三人披露、泄露或许可第三人使用。</w:t>
      </w:r>
      <w:r/>
    </w:p>
    <w:p>
      <w:pPr>
        <w:pStyle w:val="864"/>
        <w:ind w:firstLine="482"/>
        <w:jc w:val="both"/>
        <w:spacing w:beforeAutospacing="0" w:afterAutospacing="0" w:line="460" w:lineRule="exact"/>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、违约责任</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1若甲方未能接收服务成果，且无法提供合理的拒绝理由，甲方应向乙方支付相当于服务成果价值5%的违约金。但若甲方能证明拒收是由于乙方服务成果不符合合同约定标准或存在重大缺陷，甲方有权拒收而不承担此违约责任。</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3乙方逾期交付服务成果或成果验收不符合要求的，乙方应按合同总额每日千分之六向甲方支付违约金。逾期超过约定日期10个工作日不能交付的，甲方可解除本合同。甲方依法依约解除合同的，乙方应向甲方支付合同金额5%的违约金，乙方应退还预付款，甲方有权不再付款。如造成甲方损失超过违约金的，超出部分由乙方继续承担赔偿责任。 </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.4乙方</w:t>
      </w:r>
      <w:r>
        <w:rPr>
          <w:rFonts w:hint="eastAsia" w:ascii="宋体" w:hAnsi="宋体"/>
          <w:bCs/>
          <w:color w:val="auto"/>
          <w:sz w:val="24"/>
          <w:highlight w:val="none"/>
          <w:lang w:eastAsia="zh-CN"/>
        </w:rPr>
        <w:t xml:space="preserve">所提</w:t>
      </w:r>
      <w:r>
        <w:rPr>
          <w:rFonts w:hint="eastAsia" w:ascii="宋体" w:hAnsi="宋体"/>
          <w:bCs/>
          <w:color w:val="auto"/>
          <w:sz w:val="24"/>
          <w:highlight w:val="none"/>
        </w:rPr>
        <w:t xml:space="preserve">交的成果的技术参数、质量不符合合同规定及招标文件规定标准的，甲方有权拒收。</w:t>
      </w:r>
      <w:r/>
    </w:p>
    <w:p>
      <w:pPr>
        <w:pStyle w:val="864"/>
        <w:ind w:firstLine="480"/>
        <w:jc w:val="both"/>
        <w:spacing w:beforeAutospacing="0" w:afterAutospacing="0" w:line="460" w:lineRule="exact"/>
        <w:rPr>
          <w:rFonts w:ascii="宋体" w:hAnsi="宋体" w:cs="宋体"/>
          <w:color w:val="auto"/>
          <w:highlight w:val="none"/>
        </w:rPr>
      </w:pPr>
      <w:r>
        <w:rPr>
          <w:rFonts w:hint="eastAsia" w:ascii="宋体" w:hAnsi="宋体"/>
          <w:bCs/>
          <w:color w:val="auto"/>
          <w:highlight w:val="none"/>
        </w:rPr>
        <w:t xml:space="preserve">1</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.5若乙方违反知识产权、保密条款，除支付违约金外，还应立即停止侵权行为，消除影响，并赔偿甲方因此遭受的损失。</w:t>
      </w:r>
      <w:r/>
    </w:p>
    <w:p>
      <w:pPr>
        <w:ind w:firstLine="482"/>
        <w:jc w:val="left"/>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、双方的权利及义务</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.1甲方根据乙方需要，参与项目的相关讨论和调研活动，给予支持与指导。</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.2甲方对乙方的工作进度和阶段性成果进行监督、检查。</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.3甲方应在合同签订后三日内，提供项目各项背景材料及政策性文件。</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.4乙方按照合同规定及甲方要求，按时按量完成工作，按甲方需要提交书面及电子文件。</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ascii="宋体" w:hAnsi="宋体"/>
          <w:color w:val="auto"/>
          <w:sz w:val="24"/>
          <w:highlight w:val="none"/>
        </w:rPr>
        <w:t xml:space="preserve">5乙方须按照本项目所涉要求制定项目实施方案并报甲方同意后实施项目，履行承诺，保证质量。</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.6甲方对乙方在项目实施中发生的违法、违规、违约行为，按法律规定、协议约定进行处理。</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.7甲方须为乙方提供政策咨询及必要支持，在政策允许范围内协助乙方做好项目实施工作。</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.8在项目实施过程中，乙方不得向甲方提供虚假资料或信息。</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.9乙方应主动接受并配合甲方及相关财政、审计等部门对本项目的检查、指导和监督。</w:t>
      </w:r>
      <w:r/>
    </w:p>
    <w:p>
      <w:pPr>
        <w:ind w:firstLine="480"/>
        <w:spacing w:line="460" w:lineRule="exact"/>
        <w:tabs>
          <w:tab w:val="left" w:pos="45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.10乙方实施本项目产生的所有相关文字资料、影像资料、电子数据之知识产权均归甲方所有；未经甲方许可，乙方除可声明其为该项目承包方外不得对上述资料进行其他用途的使用。</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、不可抗力事件处理</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在合同有效期内，任何一方因不可抗力事件导致不能履行合同，则合同履行期可延长，其延长期与不可抗力影响期相同。</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.2 不可抗力事件发生后，应立即通知对方，并寄送有关权威机构出具的证明。</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.3 不可抗力事件延续120天以上，双方应通过友好协商，确定是否继续履行合同。</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、解决争议的方法</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864"/>
        <w:ind w:firstLine="482"/>
        <w:jc w:val="both"/>
        <w:spacing w:beforeAutospacing="0" w:afterAutospacing="0" w:line="460" w:lineRule="exact"/>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、合同生效及其他</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 合同经双方法定代表人或授权委托代表人签字并加盖单位公章后生效。</w:t>
      </w:r>
      <w:r/>
    </w:p>
    <w:p>
      <w:pPr>
        <w:pStyle w:val="864"/>
        <w:ind w:firstLine="480"/>
        <w:jc w:val="both"/>
        <w:spacing w:beforeAutospacing="0" w:afterAutospacing="0" w:line="460" w:lineRule="exac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.2本合同未尽事宜，遵照《中华人民共和国民法典</w:t>
      </w:r>
      <w:r>
        <w:rPr>
          <w:rFonts w:hint="eastAsia" w:ascii="宋体" w:hAnsi="宋体" w:eastAsia="宋体" w:cs="宋体"/>
          <w:color w:val="auto"/>
          <w:highlight w:val="none"/>
          <w:lang w:eastAsia="zh-CN"/>
        </w:rPr>
        <w:t xml:space="preserve">》和</w:t>
      </w:r>
      <w:r>
        <w:rPr>
          <w:rFonts w:hint="eastAsia" w:ascii="宋体" w:hAnsi="宋体" w:eastAsia="宋体" w:cs="宋体"/>
          <w:color w:val="auto"/>
          <w:highlight w:val="none"/>
        </w:rPr>
        <w:t xml:space="preserve">《中华人民共和国政府采购法</w:t>
      </w:r>
      <w:r>
        <w:rPr>
          <w:rFonts w:hint="eastAsia" w:ascii="宋体" w:hAnsi="宋体" w:eastAsia="宋体" w:cs="宋体"/>
          <w:color w:val="auto"/>
          <w:highlight w:val="none"/>
          <w:lang w:eastAsia="zh-CN"/>
        </w:rPr>
        <w:t xml:space="preserve">》等</w:t>
      </w:r>
      <w:r>
        <w:rPr>
          <w:rFonts w:hint="eastAsia" w:ascii="宋体" w:hAnsi="宋体" w:eastAsia="宋体" w:cs="宋体"/>
          <w:color w:val="auto"/>
          <w:highlight w:val="none"/>
        </w:rPr>
        <w:t xml:space="preserve">有关条文执行。</w:t>
      </w:r>
      <w:r/>
    </w:p>
    <w:p>
      <w:pPr>
        <w:pStyle w:val="864"/>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.3 本合同正本一式六份，具有同等法律效力。</w:t>
      </w:r>
      <w:bookmarkStart w:id="153" w:name="_Toc479757211"/>
      <w:r/>
      <w:bookmarkStart w:id="154" w:name="_Toc16938590"/>
      <w:r/>
      <w:bookmarkStart w:id="155" w:name="_Toc120614244"/>
      <w:r/>
      <w:bookmarkStart w:id="156" w:name="_Toc462564139"/>
      <w:r/>
      <w:bookmarkStart w:id="157" w:name="_Toc20823346"/>
      <w:r/>
      <w:bookmarkStart w:id="158" w:name="_Hlt16619369"/>
      <w:r/>
      <w:bookmarkStart w:id="159" w:name="_Hlt16619350"/>
      <w:r>
        <w:rPr>
          <w:rFonts w:ascii="宋体" w:hAnsi="宋体" w:eastAsia="宋体" w:cs="宋体"/>
          <w:color w:val="auto"/>
          <w:highlight w:val="none"/>
        </w:rPr>
      </w:r>
      <w:r/>
    </w:p>
    <w:p>
      <w:pPr>
        <w:pStyle w:val="864"/>
        <w:ind w:left="480" w:hanging="480"/>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r>
      <w:r/>
    </w:p>
    <w:p>
      <w:pPr>
        <w:pStyle w:val="864"/>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甲方：                         乙方： </w:t>
      </w:r>
      <w:r>
        <w:rPr>
          <w:color w:val="auto"/>
          <w:highlight w:val="none"/>
        </w:rPr>
      </w:r>
      <w:r/>
    </w:p>
    <w:p>
      <w:pPr>
        <w:pStyle w:val="864"/>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地址：                         地址： </w:t>
      </w:r>
      <w:r>
        <w:rPr>
          <w:color w:val="auto"/>
          <w:highlight w:val="none"/>
        </w:rPr>
      </w:r>
      <w:r/>
    </w:p>
    <w:p>
      <w:pPr>
        <w:pStyle w:val="864"/>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法定代表人或授权代表：         法定代表人或授权代表：</w:t>
      </w:r>
      <w:r>
        <w:rPr>
          <w:color w:val="auto"/>
          <w:highlight w:val="none"/>
        </w:rPr>
      </w:r>
      <w:r/>
    </w:p>
    <w:p>
      <w:pPr>
        <w:pStyle w:val="864"/>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联系电话：                     联系电话：          </w:t>
      </w:r>
      <w:r/>
    </w:p>
    <w:p>
      <w:pPr>
        <w:pStyle w:val="864"/>
        <w:jc w:val="both"/>
        <w:spacing w:before="120" w:beforeAutospacing="0" w:after="120" w:afterAutospacing="0" w:line="0" w:lineRule="atLeast"/>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r/>
    </w:p>
    <w:p>
      <w:pPr>
        <w:pStyle w:val="864"/>
        <w:jc w:val="right"/>
        <w:spacing w:before="120" w:beforeAutospacing="0" w:after="120" w:afterAutospacing="0" w:line="0" w:lineRule="atLeast"/>
        <w:rPr>
          <w:rFonts w:ascii="黑体" w:hAnsi="宋体" w:eastAsia="黑体" w:cs="黑体"/>
          <w:color w:val="auto"/>
          <w:sz w:val="44"/>
          <w:szCs w:val="44"/>
          <w:highlight w:val="none"/>
        </w:rPr>
      </w:pPr>
      <w:r>
        <w:rPr>
          <w:rFonts w:ascii="Times New Roman" w:hAnsi="Times New Roman"/>
          <w:color w:val="auto"/>
          <w:highlight w:val="none"/>
        </w:rPr>
        <w:t xml:space="preserve">签订日期：      年    月   日</w:t>
      </w:r>
      <w:r/>
    </w:p>
    <w:p>
      <w:pPr>
        <w:pStyle w:val="86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3"/>
      <w:r>
        <w:rPr>
          <w:rFonts w:hint="eastAsia" w:ascii="黑体" w:hAnsi="宋体" w:eastAsia="黑体" w:cs="黑体"/>
          <w:color w:val="auto"/>
          <w:sz w:val="44"/>
          <w:szCs w:val="44"/>
          <w:highlight w:val="none"/>
        </w:rPr>
        <w:t xml:space="preserve">四章 采购需求</w:t>
      </w:r>
      <w:bookmarkEnd w:id="154"/>
      <w:r/>
      <w:bookmarkEnd w:id="155"/>
      <w:r/>
      <w:bookmarkEnd w:id="156"/>
      <w:r/>
      <w:bookmarkEnd w:id="157"/>
      <w:r/>
      <w:bookmarkStart w:id="160" w:name="_Toc26554093"/>
      <w:r/>
      <w:bookmarkEnd w:id="160"/>
      <w:r/>
      <w:bookmarkStart w:id="161" w:name="_Toc49090575"/>
      <w:r/>
      <w:bookmarkEnd w:id="161"/>
      <w:r/>
      <w:r/>
    </w:p>
    <w:p>
      <w:pPr>
        <w:ind w:firstLine="562"/>
        <w:jc w:val="left"/>
        <w:spacing w:line="480" w:lineRule="exact"/>
        <w:rPr>
          <w:rFonts w:asciiTheme="majorEastAsia" w:hAnsiTheme="majorEastAsia" w:eastAsiaTheme="majorEastAsia"/>
          <w:b/>
          <w:color w:val="auto"/>
          <w:sz w:val="28"/>
          <w:highlight w:val="none"/>
        </w:rPr>
      </w:pPr>
      <w:r>
        <w:rPr>
          <w:rFonts w:hint="eastAsia" w:asciiTheme="majorEastAsia" w:hAnsiTheme="majorEastAsia" w:eastAsiaTheme="majorEastAsia"/>
          <w:b/>
          <w:color w:val="auto"/>
          <w:sz w:val="28"/>
          <w:highlight w:val="none"/>
        </w:rPr>
        <w:t xml:space="preserve">一、项目背景</w:t>
      </w:r>
      <w:r/>
    </w:p>
    <w:p>
      <w:pPr>
        <w:ind w:firstLine="480"/>
        <w:spacing w:line="480" w:lineRule="exact"/>
        <w:rPr>
          <w:rFonts w:hint="eastAsia"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rPr>
        <w:t xml:space="preserve">低效用地再开发是盘活城镇存量建设用地资源，提高土地利用效率的重要途径。经过多年的发展建设，在一些城镇和乡村地区，包括城中村、老旧厂区，存在存量建设用地布局散乱、利用效率不高、用途不合理等问题。为贯彻党中央、国务院关于实施全面节约战略等决策部署，聚焦盘活利用存量土地，提高土地资源利用效率和产出效益，切实促进城乡高质量发展，2023年9月5日，自然资源部印发《关于开展低效用地再开发试点工作</w:t>
      </w:r>
      <w:r>
        <w:rPr>
          <w:rFonts w:hint="eastAsia" w:ascii="PingFang SC" w:hAnsi="PingFang SC"/>
          <w:color w:val="auto"/>
          <w:sz w:val="24"/>
          <w:szCs w:val="21"/>
          <w:highlight w:val="none"/>
          <w:shd w:val="clear" w:color="auto" w:fill="ffffff"/>
        </w:rPr>
        <w:t xml:space="preserve">的通知》（自然资发〔2023〕171号），出台14条支持政策，在北京等15个省（市）的43个城市开展为期4年的低效用地再开发试点工作，江苏省第一批试点城市为南京市、无锡市、常州市和苏州市。随着试点工作的推进和深化，2025年，自然资源部结合第一批试点城市工作经验，决定扩大低效用地再开发试点范围，今年4月印发《关于扩大深化低效用地再开发试点工作的通知》（自然资发〔2025〕83号），在原有43个试点城市的基础上，将试点范围扩大到87座城市。其中盐城市（含所辖各县级行政区）被列入本次新增低效用地再开发试点名单。</w:t>
      </w:r>
      <w:r/>
    </w:p>
    <w:p>
      <w:pPr>
        <w:ind w:firstLine="480"/>
        <w:spacing w:line="480" w:lineRule="exact"/>
        <w:rPr>
          <w:rFonts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rPr>
        <w:t xml:space="preserve">结合盐城市低效用地再开发工作要求及内容，东台市积极落实上级主管单位工作部署，在全市范围内积极开展低效用地调查入库工作，全面查清包括城中村改造项目在内的低效用地及其零星地、历史遗留用地等数据底数，全部实现上图入库。编制实施方案及年度实施计划，推进低效用地再开发项目实施。</w:t>
      </w:r>
      <w:r/>
    </w:p>
    <w:p>
      <w:pPr>
        <w:ind w:firstLine="562"/>
        <w:spacing w:line="480" w:lineRule="exact"/>
        <w:rPr>
          <w:rFonts w:asciiTheme="majorEastAsia" w:hAnsiTheme="majorEastAsia" w:eastAsiaTheme="majorEastAsia"/>
          <w:b/>
          <w:color w:val="auto"/>
          <w:sz w:val="28"/>
          <w:highlight w:val="none"/>
        </w:rPr>
      </w:pPr>
      <w:r>
        <w:rPr>
          <w:rFonts w:hint="eastAsia" w:asciiTheme="majorEastAsia" w:hAnsiTheme="majorEastAsia" w:eastAsiaTheme="majorEastAsia"/>
          <w:b/>
          <w:color w:val="auto"/>
          <w:sz w:val="28"/>
          <w:highlight w:val="none"/>
        </w:rPr>
        <w:t xml:space="preserve">二、服务内容</w:t>
      </w:r>
      <w:r/>
    </w:p>
    <w:p>
      <w:pPr>
        <w:ind w:firstLine="482"/>
        <w:spacing w:line="480" w:lineRule="exact"/>
        <w:rPr>
          <w:rFonts w:ascii="PingFang SC" w:hAnsi="PingFang SC"/>
          <w:b/>
          <w:bCs/>
          <w:color w:val="auto"/>
          <w:sz w:val="24"/>
          <w:szCs w:val="21"/>
          <w:highlight w:val="none"/>
          <w:shd w:val="clear" w:color="auto" w:fill="ffffff"/>
        </w:rPr>
      </w:pPr>
      <w:r>
        <w:rPr>
          <w:rFonts w:hint="eastAsia" w:ascii="PingFang SC" w:hAnsi="PingFang SC"/>
          <w:b/>
          <w:bCs/>
          <w:color w:val="auto"/>
          <w:sz w:val="24"/>
          <w:szCs w:val="21"/>
          <w:highlight w:val="none"/>
          <w:shd w:val="clear" w:color="auto" w:fill="ffffff"/>
          <w:lang w:val="en-US" w:eastAsia="zh-CN"/>
        </w:rPr>
        <w:t xml:space="preserve">1.</w:t>
      </w:r>
      <w:r>
        <w:rPr>
          <w:rFonts w:hint="eastAsia" w:ascii="PingFang SC" w:hAnsi="PingFang SC"/>
          <w:b/>
          <w:bCs/>
          <w:color w:val="auto"/>
          <w:sz w:val="24"/>
          <w:szCs w:val="21"/>
          <w:highlight w:val="none"/>
          <w:shd w:val="clear" w:color="auto" w:fill="ffffff"/>
        </w:rPr>
        <w:t xml:space="preserve">低效用地数据库建设及上报</w:t>
      </w:r>
      <w:r/>
    </w:p>
    <w:p>
      <w:pPr>
        <w:ind w:firstLine="480"/>
        <w:spacing w:line="480" w:lineRule="exact"/>
        <w:rPr>
          <w:rFonts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rPr>
        <w:t xml:space="preserve">根据《自然资源部关于开展低效用地再开发试点工作的通知》（自然资发〔2023〕171 号）、《自然资源部关于扩大深化低效用地再开发试点工作的通知》（自然资发〔2025〕83号），以第三次全国国土调查及最新年度国土变更调查成果为基础，全面查清低效用地及历史遗留用地底数，建立全要素低效用地数据库，全部实现上图入库。 </w:t>
      </w:r>
      <w:r/>
    </w:p>
    <w:p>
      <w:pPr>
        <w:ind w:firstLine="482"/>
        <w:spacing w:line="480" w:lineRule="exact"/>
        <w:rPr>
          <w:rFonts w:ascii="PingFang SC" w:hAnsi="PingFang SC"/>
          <w:b/>
          <w:bCs/>
          <w:color w:val="auto"/>
          <w:sz w:val="24"/>
          <w:szCs w:val="21"/>
          <w:highlight w:val="none"/>
          <w:shd w:val="clear" w:color="auto" w:fill="ffffff"/>
        </w:rPr>
      </w:pPr>
      <w:r>
        <w:rPr>
          <w:rFonts w:hint="eastAsia" w:ascii="PingFang SC" w:hAnsi="PingFang SC"/>
          <w:b/>
          <w:bCs/>
          <w:color w:val="auto"/>
          <w:sz w:val="24"/>
          <w:szCs w:val="21"/>
          <w:highlight w:val="none"/>
          <w:shd w:val="clear" w:color="auto" w:fill="ffffff"/>
          <w:lang w:val="en-US" w:eastAsia="zh-CN"/>
        </w:rPr>
        <w:t xml:space="preserve">2.</w:t>
      </w:r>
      <w:r>
        <w:rPr>
          <w:rFonts w:hint="eastAsia" w:ascii="PingFang SC" w:hAnsi="PingFang SC"/>
          <w:b/>
          <w:bCs/>
          <w:color w:val="auto"/>
          <w:sz w:val="24"/>
          <w:szCs w:val="21"/>
          <w:highlight w:val="none"/>
          <w:shd w:val="clear" w:color="auto" w:fill="ffffff"/>
        </w:rPr>
        <w:t xml:space="preserve">低效用地再开发年度实施计划</w:t>
      </w:r>
      <w:r/>
    </w:p>
    <w:p>
      <w:pPr>
        <w:ind w:firstLine="480"/>
        <w:spacing w:line="480" w:lineRule="exact"/>
        <w:rPr>
          <w:rFonts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rPr>
        <w:t xml:space="preserve">以低效用地上图入库为基础，已纳入低效用地数据库的低效用地，可列入年度实施计划范围，在满足地方基础设施、公共设施、公益事业等配套设施用地前提下，合理安排年度实施计划，编制低效用地再开发年度实施计划成果，分别形成东台市2026、2027、2028、2029、2030年度再开发实施计划成果。</w:t>
      </w:r>
      <w:r/>
    </w:p>
    <w:p>
      <w:pPr>
        <w:ind w:firstLine="562"/>
        <w:spacing w:line="480" w:lineRule="exact"/>
        <w:rPr>
          <w:rFonts w:asciiTheme="majorEastAsia" w:hAnsiTheme="majorEastAsia" w:eastAsiaTheme="majorEastAsia"/>
          <w:b/>
          <w:color w:val="auto"/>
          <w:sz w:val="28"/>
          <w:highlight w:val="none"/>
        </w:rPr>
      </w:pPr>
      <w:r>
        <w:rPr>
          <w:rFonts w:hint="eastAsia" w:asciiTheme="majorEastAsia" w:hAnsiTheme="majorEastAsia" w:eastAsiaTheme="majorEastAsia"/>
          <w:b/>
          <w:color w:val="auto"/>
          <w:sz w:val="28"/>
          <w:highlight w:val="none"/>
        </w:rPr>
        <w:t xml:space="preserve">三、履约期限</w:t>
      </w:r>
      <w:r/>
    </w:p>
    <w:p>
      <w:pPr>
        <w:ind w:firstLine="480"/>
        <w:spacing w:line="480" w:lineRule="exact"/>
        <w:rPr>
          <w:rFonts w:hint="eastAsia"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rPr>
        <w:t xml:space="preserve">根据国家、省、市自然资源主管部门的低效用地再开发工作和时间节点等要求提交相应成果。</w:t>
      </w:r>
      <w:r/>
    </w:p>
    <w:p>
      <w:pPr>
        <w:ind w:firstLine="562"/>
        <w:spacing w:line="480" w:lineRule="exact"/>
        <w:rPr>
          <w:rFonts w:asciiTheme="majorEastAsia" w:hAnsiTheme="majorEastAsia" w:eastAsiaTheme="majorEastAsia"/>
          <w:b/>
          <w:color w:val="auto"/>
          <w:sz w:val="28"/>
          <w:highlight w:val="none"/>
        </w:rPr>
      </w:pPr>
      <w:r>
        <w:rPr>
          <w:rFonts w:hint="eastAsia" w:asciiTheme="majorEastAsia" w:hAnsiTheme="majorEastAsia" w:eastAsiaTheme="majorEastAsia"/>
          <w:b/>
          <w:color w:val="auto"/>
          <w:sz w:val="28"/>
          <w:highlight w:val="none"/>
          <w:lang w:val="en-US" w:eastAsia="zh-CN"/>
        </w:rPr>
        <w:t xml:space="preserve">四</w:t>
      </w:r>
      <w:r>
        <w:rPr>
          <w:rFonts w:hint="eastAsia" w:asciiTheme="majorEastAsia" w:hAnsiTheme="majorEastAsia" w:eastAsiaTheme="majorEastAsia"/>
          <w:b/>
          <w:color w:val="auto"/>
          <w:sz w:val="28"/>
          <w:highlight w:val="none"/>
        </w:rPr>
        <w:t xml:space="preserve">、成果要求</w:t>
      </w:r>
      <w:r/>
    </w:p>
    <w:p>
      <w:pPr>
        <w:ind w:firstLine="480"/>
        <w:spacing w:line="480" w:lineRule="exact"/>
        <w:rPr>
          <w:rFonts w:hint="eastAsia"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rPr>
        <w:t xml:space="preserve">本项目技术服务主要提交以下成果：</w:t>
      </w:r>
      <w:r/>
    </w:p>
    <w:p>
      <w:pPr>
        <w:ind w:firstLine="480"/>
        <w:spacing w:line="480" w:lineRule="exact"/>
        <w:rPr>
          <w:rFonts w:hint="eastAsia"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lang w:val="en-US" w:eastAsia="zh-CN"/>
        </w:rPr>
        <w:t xml:space="preserve">1.</w:t>
      </w:r>
      <w:r>
        <w:rPr>
          <w:rFonts w:hint="eastAsia" w:ascii="PingFang SC" w:hAnsi="PingFang SC"/>
          <w:color w:val="auto"/>
          <w:sz w:val="24"/>
          <w:szCs w:val="21"/>
          <w:highlight w:val="none"/>
          <w:shd w:val="clear" w:color="auto" w:fill="ffffff"/>
        </w:rPr>
        <w:t xml:space="preserve">调查入库成果：包含东台市低效用地调查数据库、报告、图件、表格和相关附件等。</w:t>
      </w:r>
      <w:r/>
    </w:p>
    <w:p>
      <w:pPr>
        <w:ind w:firstLine="480"/>
        <w:spacing w:line="480" w:lineRule="exact"/>
        <w:rPr>
          <w:rFonts w:hint="eastAsia" w:ascii="PingFang SC" w:hAnsi="PingFang SC"/>
          <w:color w:val="auto"/>
          <w:sz w:val="24"/>
          <w:szCs w:val="21"/>
          <w:highlight w:val="none"/>
          <w:shd w:val="clear" w:color="auto" w:fill="ffffff"/>
        </w:rPr>
      </w:pPr>
      <w:r>
        <w:rPr>
          <w:rFonts w:hint="eastAsia" w:ascii="PingFang SC" w:hAnsi="PingFang SC"/>
          <w:color w:val="auto"/>
          <w:sz w:val="24"/>
          <w:szCs w:val="21"/>
          <w:highlight w:val="none"/>
          <w:shd w:val="clear" w:color="auto" w:fill="ffffff"/>
          <w:lang w:val="en-US" w:eastAsia="zh-CN"/>
        </w:rPr>
        <w:t xml:space="preserve">2.</w:t>
      </w:r>
      <w:r>
        <w:rPr>
          <w:rFonts w:hint="eastAsia" w:ascii="PingFang SC" w:hAnsi="PingFang SC"/>
          <w:color w:val="auto"/>
          <w:sz w:val="24"/>
          <w:szCs w:val="21"/>
          <w:highlight w:val="none"/>
          <w:shd w:val="clear" w:color="auto" w:fill="ffffff"/>
        </w:rPr>
        <w:t xml:space="preserve">年度实施计划成果：包含低效用地再开发2026年度实施计划数据库、报告、图件、表格和相关附件等；低效用地再开发2027年度实施计划数据库、报告、图件、表格和相关附件等；低效用地再开发2028年度实施计划数据库、报告、图件、表格和相关附件等；低效用地再开发2029年度实施计划数据库、报告、图件、表格和相关附件等；低效用地再开发2030年度实施计划数据库、报告、图件、表格和相关附件等。</w:t>
      </w:r>
      <w:r/>
    </w:p>
    <w:p>
      <w:pPr>
        <w:ind w:firstLine="562"/>
        <w:jc w:val="left"/>
        <w:spacing w:line="480" w:lineRule="exact"/>
        <w:rPr>
          <w:rFonts w:asciiTheme="majorEastAsia" w:hAnsiTheme="majorEastAsia" w:eastAsiaTheme="majorEastAsia"/>
          <w:b/>
          <w:color w:val="auto"/>
          <w:sz w:val="28"/>
          <w:highlight w:val="none"/>
        </w:rPr>
      </w:pPr>
      <w:r>
        <w:rPr>
          <w:rFonts w:hint="eastAsia" w:asciiTheme="majorEastAsia" w:hAnsiTheme="majorEastAsia" w:eastAsiaTheme="majorEastAsia"/>
          <w:b/>
          <w:color w:val="auto"/>
          <w:sz w:val="28"/>
          <w:highlight w:val="none"/>
          <w:lang w:val="en-US" w:eastAsia="zh-CN"/>
        </w:rPr>
        <w:t xml:space="preserve">五</w:t>
      </w:r>
      <w:r>
        <w:rPr>
          <w:rFonts w:hint="eastAsia" w:asciiTheme="majorEastAsia" w:hAnsiTheme="majorEastAsia" w:eastAsiaTheme="majorEastAsia"/>
          <w:b/>
          <w:color w:val="auto"/>
          <w:sz w:val="28"/>
          <w:highlight w:val="none"/>
        </w:rPr>
        <w:t xml:space="preserve">、质量要求</w:t>
      </w:r>
      <w:r/>
    </w:p>
    <w:p>
      <w:pPr>
        <w:ind w:firstLine="480"/>
        <w:spacing w:line="480" w:lineRule="exact"/>
        <w:rPr>
          <w:rFonts w:ascii="PingFang SC" w:hAnsi="PingFang SC"/>
          <w:color w:val="auto"/>
          <w:sz w:val="24"/>
          <w:szCs w:val="21"/>
          <w:highlight w:val="none"/>
          <w:shd w:val="clear" w:color="auto" w:fill="ffffff"/>
        </w:rPr>
      </w:pPr>
      <w:r>
        <w:rPr>
          <w:rFonts w:hint="eastAsia" w:ascii="宋体" w:hAnsi="宋体"/>
          <w:color w:val="auto"/>
          <w:sz w:val="24"/>
          <w:highlight w:val="none"/>
        </w:rPr>
        <w:t xml:space="preserve">成果须符合国家、省、市相关要求，并通过采购人验收。</w:t>
      </w:r>
      <w:r/>
    </w:p>
    <w:p>
      <w:pPr>
        <w:pStyle w:val="864"/>
        <w:ind w:firstLine="562"/>
        <w:jc w:val="both"/>
        <w:spacing w:beforeAutospacing="0" w:afterAutospacing="0" w:line="480" w:lineRule="exact"/>
        <w:rPr>
          <w:rFonts w:asciiTheme="majorEastAsia" w:hAnsiTheme="majorEastAsia" w:eastAsiaTheme="majorEastAsia" w:cstheme="minorBidi"/>
          <w:b/>
          <w:color w:val="auto"/>
          <w:sz w:val="28"/>
          <w:highlight w:val="none"/>
        </w:rPr>
      </w:pPr>
      <w:r>
        <w:rPr>
          <w:rFonts w:hint="eastAsia" w:asciiTheme="majorEastAsia" w:hAnsiTheme="majorEastAsia" w:eastAsiaTheme="majorEastAsia"/>
          <w:b/>
          <w:color w:val="auto"/>
          <w:sz w:val="28"/>
          <w:highlight w:val="none"/>
          <w:lang w:val="en-US" w:eastAsia="zh-CN"/>
        </w:rPr>
        <w:t xml:space="preserve">六</w:t>
      </w:r>
      <w:r>
        <w:rPr>
          <w:rFonts w:hint="eastAsia" w:asciiTheme="majorEastAsia" w:hAnsiTheme="majorEastAsia" w:eastAsiaTheme="majorEastAsia"/>
          <w:b/>
          <w:color w:val="auto"/>
          <w:sz w:val="28"/>
          <w:highlight w:val="none"/>
        </w:rPr>
        <w:t xml:space="preserve">、</w:t>
      </w:r>
      <w:r>
        <w:rPr>
          <w:rFonts w:hint="eastAsia" w:asciiTheme="majorEastAsia" w:hAnsiTheme="majorEastAsia" w:eastAsiaTheme="majorEastAsia" w:cstheme="minorBidi"/>
          <w:b/>
          <w:color w:val="auto"/>
          <w:sz w:val="28"/>
          <w:highlight w:val="none"/>
        </w:rPr>
        <w:t xml:space="preserve">采购标的对应的中小企业划分标准所属行业一览表</w:t>
      </w:r>
      <w:r/>
    </w:p>
    <w:tbl>
      <w:tblPr>
        <w:tblStyle w:val="854"/>
        <w:tblW w:w="856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64"/>
        <w:gridCol w:w="4137"/>
        <w:gridCol w:w="3663"/>
      </w:tblGrid>
      <w:tr>
        <w:trPr>
          <w:jc w:val="center"/>
          <w:tblCellSpacing w:w="0" w:type="dxa"/>
          <w:trHeight w:val="469"/>
        </w:trPr>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663" w:type="dxa"/>
            <w:vAlign w:val="center"/>
            <w:textDirection w:val="lrTb"/>
            <w:noWrap w:val="false"/>
          </w:tcPr>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469"/>
        </w:trPr>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pStyle w:val="864"/>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东台市低效用地再开发试点工作项目</w:t>
            </w:r>
            <w:r/>
          </w:p>
        </w:tc>
        <w:tc>
          <w:tcPr>
            <w:shd w:val="clear" w:color="auto" w:fill="auto"/>
            <w:tcBorders>
              <w:top w:val="single" w:color="auto" w:sz="4" w:space="0"/>
              <w:left w:val="single" w:color="auto" w:sz="4" w:space="0"/>
              <w:bottom w:val="single" w:color="auto" w:sz="4" w:space="0"/>
              <w:right w:val="single" w:color="auto" w:sz="4" w:space="0"/>
            </w:tcBorders>
            <w:tcW w:w="3663" w:type="dxa"/>
            <w:vAlign w:val="center"/>
            <w:textDirection w:val="lrTb"/>
            <w:noWrap w:val="false"/>
          </w:tcPr>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r>
    </w:tbl>
    <w:p>
      <w:pPr>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864"/>
        <w:ind w:firstLine="480"/>
        <w:jc w:val="both"/>
        <w:spacing w:beforeAutospacing="0" w:afterAutospacing="0" w:line="480" w:lineRule="exact"/>
        <w:rPr>
          <w:rFonts w:ascii="PingFang SC" w:hAnsi="PingFang SC"/>
          <w:color w:val="auto"/>
          <w:szCs w:val="21"/>
          <w:highlight w:val="none"/>
          <w:shd w:val="clear" w:color="auto" w:fill="ffffff"/>
        </w:rPr>
      </w:pPr>
      <w:r>
        <w:rPr>
          <w:rFonts w:hint="eastAsia" w:ascii="PingFang SC" w:hAnsi="PingFang SC"/>
          <w:color w:val="auto"/>
          <w:szCs w:val="21"/>
          <w:highlight w:val="none"/>
          <w:shd w:val="clear" w:color="auto" w:fill="ffffff"/>
        </w:rPr>
        <w:t xml:space="preserve"> </w:t>
      </w:r>
      <w:r/>
    </w:p>
    <w:p>
      <w:pPr>
        <w:rPr>
          <w:rFonts w:ascii="黑体" w:hAnsi="宋体" w:eastAsia="黑体" w:cs="黑体"/>
          <w:color w:val="auto"/>
          <w:sz w:val="44"/>
          <w:szCs w:val="44"/>
          <w:highlight w:val="none"/>
        </w:rPr>
      </w:pPr>
      <w:r/>
      <w:bookmarkStart w:id="162" w:name="_Toc120614281"/>
      <w:r>
        <w:rPr>
          <w:rFonts w:hint="eastAsia" w:ascii="黑体" w:hAnsi="宋体" w:eastAsia="黑体" w:cs="黑体"/>
          <w:color w:val="auto"/>
          <w:sz w:val="44"/>
          <w:szCs w:val="44"/>
          <w:highlight w:val="none"/>
        </w:rPr>
        <w:br w:type="page" w:clear="all"/>
      </w:r>
      <w:r/>
    </w:p>
    <w:p>
      <w:pPr>
        <w:pStyle w:val="864"/>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2"/>
      <w:r/>
      <w:r/>
    </w:p>
    <w:p>
      <w:pPr>
        <w:pStyle w:val="864"/>
        <w:jc w:val="both"/>
        <w:spacing w:beforeAutospacing="0" w:afterAutospacing="0"/>
        <w:rPr>
          <w:color w:val="auto"/>
          <w:highlight w:val="none"/>
        </w:rPr>
      </w:pPr>
      <w:r>
        <w:rPr>
          <w:color w:val="auto"/>
          <w:highlight w:val="none"/>
        </w:rPr>
        <w:t xml:space="preserve"> </w:t>
      </w:r>
      <w:r/>
    </w:p>
    <w:p>
      <w:pPr>
        <w:pStyle w:val="864"/>
        <w:ind w:firstLine="482"/>
        <w:spacing w:beforeAutospacing="0" w:afterAutospacing="0" w:line="480" w:lineRule="exact"/>
        <w:rPr>
          <w:rFonts w:ascii="宋体" w:hAnsi="宋体" w:cs="Courier New"/>
          <w:b/>
          <w:bCs/>
          <w:color w:val="auto"/>
          <w:highlight w:val="none"/>
        </w:rPr>
      </w:pPr>
      <w:r>
        <w:rPr>
          <w:rFonts w:hint="eastAsia" w:ascii="宋体" w:hAnsi="宋体" w:cs="Courier New"/>
          <w:b/>
          <w:bCs/>
          <w:color w:val="auto"/>
          <w:highlight w:val="none"/>
        </w:rPr>
        <w:t xml:space="preserve">一、定标原则</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政府采购政策功能落实</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lang w:eastAsia="zh-CN"/>
        </w:rPr>
        <w:t xml:space="preserve">1.</w:t>
      </w:r>
      <w:r>
        <w:rPr>
          <w:rFonts w:hint="eastAsia" w:ascii="宋体" w:hAnsi="宋体" w:cs="Courier New"/>
          <w:color w:val="auto"/>
          <w:highlight w:val="none"/>
        </w:rPr>
        <w:t xml:space="preserve">小微型企业价格扣除</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（2）供应商需按照磋商文件的要求提供相应的《中小企业声明函》。</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（3）企业标准请参照《关于印发中小企业划型标准规定的通知》（工信部联企业〔2011〕300号）文件规定自行填写。</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lang w:eastAsia="zh-CN"/>
        </w:rPr>
        <w:t xml:space="preserve">2.</w:t>
      </w:r>
      <w:r>
        <w:rPr>
          <w:rFonts w:hint="eastAsia" w:ascii="宋体" w:hAnsi="宋体" w:cs="Courier New"/>
          <w:color w:val="auto"/>
          <w:highlight w:val="none"/>
        </w:rPr>
        <w:t xml:space="preserve">残疾人福利单位价格扣除</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（1）本项目对残疾人福利性单位视同小型、微型企业，给予20%的价格扣除，用扣除后的价格参与评审。</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（2）残疾人福利单位需按照磋商文件的要求提供《残疾人福利性单位声明函》。</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（3）残疾人福利单位标准请参照《关于促进残疾人就业政府采购政策的通知》（财库〔2017〕141号）。</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lang w:eastAsia="zh-CN"/>
        </w:rPr>
        <w:t xml:space="preserve">3.</w:t>
      </w:r>
      <w:r>
        <w:rPr>
          <w:rFonts w:hint="eastAsia" w:ascii="宋体" w:hAnsi="宋体" w:cs="Courier New"/>
          <w:color w:val="auto"/>
          <w:highlight w:val="none"/>
        </w:rPr>
        <w:t xml:space="preserve">监狱和戒毒企业价格扣除</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（1）本项目对监狱和戒毒企业（简称监狱企业）视同小型、微型企业，给予20%的价格扣除，用扣除后的价格参与评审。</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（2）监狱企业参加政府采购活动时，需提供由省级以上监狱管理局、戒毒管理局</w:t>
      </w:r>
      <w:r>
        <w:rPr>
          <w:rFonts w:hint="eastAsia" w:ascii="宋体" w:hAnsi="宋体" w:cs="Courier New"/>
          <w:color w:val="auto"/>
          <w:highlight w:val="none"/>
          <w:lang w:eastAsia="zh-CN"/>
        </w:rPr>
        <w:t xml:space="preserve">（</w:t>
      </w:r>
      <w:r>
        <w:rPr>
          <w:rFonts w:hint="eastAsia" w:ascii="宋体" w:hAnsi="宋体" w:cs="Courier New"/>
          <w:color w:val="auto"/>
          <w:highlight w:val="none"/>
        </w:rPr>
        <w:t xml:space="preserve">含新疆生产建设兵团</w:t>
      </w:r>
      <w:r>
        <w:rPr>
          <w:rFonts w:hint="eastAsia" w:ascii="宋体" w:hAnsi="宋体" w:cs="Courier New"/>
          <w:color w:val="auto"/>
          <w:highlight w:val="none"/>
          <w:lang w:eastAsia="zh-CN"/>
        </w:rPr>
        <w:t xml:space="preserve">）</w:t>
      </w:r>
      <w:r>
        <w:rPr>
          <w:rFonts w:hint="eastAsia" w:ascii="宋体" w:hAnsi="宋体" w:cs="Courier New"/>
          <w:color w:val="auto"/>
          <w:highlight w:val="none"/>
        </w:rPr>
        <w:t xml:space="preserve">出具的属于监狱企业的证明文件。供应商如不提供上述证明文件，价格将不做相应扣除。</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rPr>
        <w:t xml:space="preserve">（3）监狱企业标准请参照《关于政府采购支持监狱企业发展有关问题的通知》（财库〔2014〕68号）。</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lang w:eastAsia="zh-CN"/>
        </w:rPr>
        <w:t xml:space="preserve">4.</w:t>
      </w:r>
      <w:r>
        <w:rPr>
          <w:rFonts w:hint="eastAsia" w:ascii="宋体" w:hAnsi="宋体" w:cs="Courier New"/>
          <w:color w:val="auto"/>
          <w:highlight w:val="none"/>
        </w:rPr>
        <w:t xml:space="preserve">残疾人福利单位、监狱企业属于小型、微型企业的，不重复享受政策。</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lang w:eastAsia="zh-CN"/>
        </w:rPr>
        <w:t xml:space="preserve">5.</w:t>
      </w:r>
      <w:r>
        <w:rPr>
          <w:rFonts w:hint="eastAsia" w:ascii="宋体" w:hAnsi="宋体" w:cs="Courier New"/>
          <w:color w:val="auto"/>
          <w:highlight w:val="none"/>
        </w:rPr>
        <w:t xml:space="preserve">如本项目同意联合体参加磋商或同意分包履行合同的</w:t>
      </w:r>
      <w:r>
        <w:rPr>
          <w:rFonts w:hint="eastAsia" w:ascii="宋体" w:hAnsi="宋体" w:cs="Courier New"/>
          <w:color w:val="auto"/>
          <w:highlight w:val="none"/>
          <w:lang w:eastAsia="zh-CN"/>
        </w:rPr>
        <w:t xml:space="preserve">，</w:t>
      </w:r>
      <w:r>
        <w:rPr>
          <w:rFonts w:hint="eastAsia" w:ascii="宋体" w:hAnsi="宋体" w:cs="Courier New"/>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lang w:eastAsia="zh-CN"/>
        </w:rPr>
        <w:t xml:space="preserve">6.</w:t>
      </w:r>
      <w:r>
        <w:rPr>
          <w:rFonts w:hint="eastAsia" w:ascii="宋体" w:hAnsi="宋体" w:cs="Courier New"/>
          <w:color w:val="auto"/>
          <w:highlight w:val="none"/>
        </w:rPr>
        <w:t xml:space="preserve">联合体各方均为小型、微型企业（残疾人福利单位、监狱企业）的，联合体享受20%价格扣除，用扣除后的价格参与评审。</w:t>
      </w:r>
      <w:r/>
    </w:p>
    <w:p>
      <w:pPr>
        <w:pStyle w:val="864"/>
        <w:ind w:firstLine="480"/>
        <w:spacing w:beforeAutospacing="0" w:afterAutospacing="0" w:line="480" w:lineRule="exact"/>
        <w:rPr>
          <w:rFonts w:ascii="宋体" w:hAnsi="宋体" w:cs="Courier New"/>
          <w:color w:val="auto"/>
          <w:highlight w:val="none"/>
        </w:rPr>
      </w:pPr>
      <w:r>
        <w:rPr>
          <w:rFonts w:hint="eastAsia" w:ascii="宋体" w:hAnsi="宋体" w:cs="Courier New"/>
          <w:color w:val="auto"/>
          <w:highlight w:val="none"/>
          <w:lang w:eastAsia="zh-CN"/>
        </w:rPr>
        <w:t xml:space="preserve">7.</w:t>
      </w:r>
      <w:r>
        <w:rPr>
          <w:rFonts w:hint="eastAsia" w:ascii="宋体" w:hAnsi="宋体" w:cs="Courier New"/>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Courier New"/>
          <w:color w:val="auto"/>
          <w:highlight w:val="none"/>
          <w:lang w:eastAsia="zh-CN"/>
        </w:rPr>
        <w:t xml:space="preserve">（</w:t>
      </w:r>
      <w:r>
        <w:rPr>
          <w:rFonts w:hint="eastAsia" w:ascii="宋体" w:hAnsi="宋体" w:cs="Courier New"/>
          <w:color w:val="auto"/>
          <w:highlight w:val="none"/>
        </w:rPr>
        <w:t xml:space="preserve">由国家确定的认证机构出具的、处于有效期之内的节能产品、环境标志产品认证证书</w:t>
      </w:r>
      <w:r>
        <w:rPr>
          <w:rFonts w:hint="eastAsia" w:ascii="宋体" w:hAnsi="宋体" w:cs="Courier New"/>
          <w:color w:val="auto"/>
          <w:highlight w:val="none"/>
          <w:lang w:eastAsia="zh-CN"/>
        </w:rPr>
        <w:t xml:space="preserve">）</w:t>
      </w:r>
      <w:r>
        <w:rPr>
          <w:rFonts w:hint="eastAsia" w:ascii="宋体" w:hAnsi="宋体" w:cs="Courier New"/>
          <w:color w:val="auto"/>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4"/>
        <w:ind w:firstLine="482"/>
        <w:spacing w:beforeAutospacing="0" w:afterAutospacing="0" w:line="48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二、具体评审细则</w:t>
      </w:r>
      <w:r/>
    </w:p>
    <w:tbl>
      <w:tblPr>
        <w:tblStyle w:val="854"/>
        <w:tblW w:w="9067" w:type="dxa"/>
        <w:tblInd w:w="-27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45"/>
        <w:gridCol w:w="993"/>
        <w:gridCol w:w="708"/>
        <w:gridCol w:w="6521"/>
      </w:tblGrid>
      <w:tr>
        <w:trPr>
          <w:trHeight w:val="611"/>
        </w:trPr>
        <w:tc>
          <w:tcPr>
            <w:gridSpan w:val="2"/>
            <w:tcBorders>
              <w:top w:val="single" w:color="000000" w:sz="6" w:space="0"/>
              <w:left w:val="single" w:color="000000" w:sz="6" w:space="0"/>
              <w:bottom w:val="single" w:color="000000" w:sz="6" w:space="0"/>
              <w:right w:val="single" w:color="000000" w:sz="6" w:space="0"/>
            </w:tcBorders>
            <w:tcW w:w="183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562"/>
              <w:jc w:val="center"/>
              <w:rPr>
                <w:rFonts w:ascii="宋体" w:hAnsi="宋体"/>
                <w:b/>
                <w:bCs/>
                <w:color w:val="auto"/>
                <w:szCs w:val="21"/>
                <w:highlight w:val="none"/>
              </w:rPr>
            </w:pPr>
            <w:r>
              <w:rPr>
                <w:rFonts w:hint="eastAsia" w:ascii="宋体" w:hAnsi="宋体"/>
                <w:b/>
                <w:bCs/>
                <w:color w:val="auto"/>
                <w:szCs w:val="21"/>
                <w:highlight w:val="none"/>
              </w:rPr>
              <w:t xml:space="preserve">评审标准</w:t>
            </w:r>
            <w:r/>
          </w:p>
        </w:tc>
      </w:tr>
      <w:tr>
        <w:trPr>
          <w:trHeight w:val="90"/>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报价</w:t>
            </w:r>
            <w:r/>
          </w:p>
          <w:p>
            <w:pPr>
              <w:jc w:val="center"/>
              <w:rPr>
                <w:rFonts w:ascii="宋体" w:hAnsi="宋体"/>
                <w:color w:val="auto"/>
                <w:szCs w:val="21"/>
                <w:highlight w:val="none"/>
              </w:rPr>
            </w:pPr>
            <w:r>
              <w:rPr>
                <w:rFonts w:hint="eastAsia" w:ascii="宋体" w:hAnsi="宋体"/>
                <w:color w:val="auto"/>
                <w:szCs w:val="21"/>
                <w:highlight w:val="none"/>
              </w:rPr>
              <w:t xml:space="preserve">部分</w:t>
            </w:r>
            <w:r/>
          </w:p>
          <w:p>
            <w:pPr>
              <w:jc w:val="center"/>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hint="eastAsia"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 xml:space="preserve">磋商</w:t>
            </w:r>
            <w:r/>
          </w:p>
          <w:p>
            <w:pPr>
              <w:jc w:val="center"/>
              <w:rPr>
                <w:rFonts w:ascii="宋体" w:hAnsi="宋体"/>
                <w:color w:val="auto"/>
                <w:szCs w:val="21"/>
                <w:highlight w:val="none"/>
              </w:rPr>
            </w:pPr>
            <w:r>
              <w:rPr>
                <w:rFonts w:hint="eastAsia" w:ascii="宋体" w:hAnsi="宋体"/>
                <w:color w:val="auto"/>
                <w:szCs w:val="21"/>
                <w:highlight w:val="none"/>
              </w:rPr>
              <w:t xml:space="preserve">报价</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pStyle w:val="859"/>
              <w:ind w:firstLine="420"/>
              <w:jc w:val="left"/>
              <w:rPr>
                <w:rFonts w:hAnsi="宋体"/>
                <w:color w:val="auto"/>
                <w:szCs w:val="21"/>
                <w:highlight w:val="none"/>
              </w:rPr>
            </w:pPr>
            <w:r>
              <w:rPr>
                <w:rFonts w:hint="eastAsia" w:hAnsi="宋体"/>
                <w:color w:val="auto"/>
                <w:szCs w:val="21"/>
                <w:highlight w:val="none"/>
              </w:rPr>
              <w:t xml:space="preserve">采用低价优先法计算，即满足竞争性磋商文件要求且价格最低的</w:t>
            </w:r>
            <w:r>
              <w:rPr>
                <w:rFonts w:hint="eastAsia" w:hAnsi="宋体"/>
                <w:color w:val="auto"/>
                <w:szCs w:val="21"/>
                <w:highlight w:val="none"/>
                <w:lang w:val="en-US" w:eastAsia="zh-CN"/>
              </w:rPr>
              <w:t xml:space="preserve">磋商</w:t>
            </w:r>
            <w:r>
              <w:rPr>
                <w:rFonts w:hint="eastAsia" w:hAnsi="宋体"/>
                <w:color w:val="auto"/>
                <w:szCs w:val="21"/>
                <w:highlight w:val="none"/>
              </w:rPr>
              <w:t xml:space="preserve">报价为</w:t>
            </w:r>
            <w:r>
              <w:rPr>
                <w:rFonts w:hint="eastAsia" w:hAnsi="宋体"/>
                <w:color w:val="auto"/>
                <w:szCs w:val="21"/>
                <w:highlight w:val="none"/>
                <w:lang w:val="en-US" w:eastAsia="zh-CN"/>
              </w:rPr>
              <w:t xml:space="preserve">评审</w:t>
            </w:r>
            <w:r>
              <w:rPr>
                <w:rFonts w:hint="eastAsia" w:hAnsi="宋体"/>
                <w:color w:val="auto"/>
                <w:szCs w:val="21"/>
                <w:highlight w:val="none"/>
              </w:rPr>
              <w:t xml:space="preserve">基准价，其价格分为满分。</w:t>
            </w:r>
            <w:r/>
          </w:p>
          <w:p>
            <w:pPr>
              <w:pStyle w:val="859"/>
              <w:ind w:firstLine="420"/>
              <w:jc w:val="left"/>
              <w:rPr>
                <w:rFonts w:hAnsi="宋体"/>
                <w:color w:val="auto"/>
                <w:szCs w:val="21"/>
                <w:highlight w:val="none"/>
              </w:rPr>
            </w:pPr>
            <w:r>
              <w:rPr>
                <w:rFonts w:hint="eastAsia" w:hAnsi="宋体"/>
                <w:color w:val="auto"/>
                <w:szCs w:val="21"/>
                <w:highlight w:val="none"/>
              </w:rPr>
              <w:t xml:space="preserve">其他供应商的价格分统一按照下列公式计算：</w:t>
            </w:r>
            <w:r>
              <w:rPr>
                <w:rFonts w:hint="eastAsia" w:hAnsi="宋体"/>
                <w:color w:val="auto"/>
                <w:szCs w:val="21"/>
                <w:highlight w:val="none"/>
                <w:lang w:val="en-US" w:eastAsia="zh-CN"/>
              </w:rPr>
              <w:t xml:space="preserve">磋商</w:t>
            </w:r>
            <w:r>
              <w:rPr>
                <w:rFonts w:hint="eastAsia" w:hAnsi="宋体"/>
                <w:color w:val="auto"/>
                <w:szCs w:val="21"/>
                <w:highlight w:val="none"/>
              </w:rPr>
              <w:t xml:space="preserve">报价得分=</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评审</w:t>
            </w:r>
            <w:r>
              <w:rPr>
                <w:rFonts w:hint="eastAsia" w:hAnsi="宋体"/>
                <w:color w:val="auto"/>
                <w:szCs w:val="21"/>
                <w:highlight w:val="none"/>
              </w:rPr>
              <w:t xml:space="preserve">基准价/</w:t>
            </w:r>
            <w:r>
              <w:rPr>
                <w:rFonts w:hint="eastAsia" w:hAnsi="宋体"/>
                <w:color w:val="auto"/>
                <w:szCs w:val="21"/>
                <w:highlight w:val="none"/>
                <w:lang w:val="en-US" w:eastAsia="zh-CN"/>
              </w:rPr>
              <w:t xml:space="preserve">磋商</w:t>
            </w:r>
            <w:r>
              <w:rPr>
                <w:rFonts w:hint="eastAsia" w:hAnsi="宋体"/>
                <w:color w:val="auto"/>
                <w:szCs w:val="21"/>
                <w:highlight w:val="none"/>
              </w:rPr>
              <w:t xml:space="preserve">报价</w:t>
            </w:r>
            <w:r>
              <w:rPr>
                <w:rFonts w:hint="eastAsia" w:hAnsi="宋体"/>
                <w:color w:val="auto"/>
                <w:szCs w:val="21"/>
                <w:highlight w:val="none"/>
                <w:lang w:eastAsia="zh-CN"/>
              </w:rPr>
              <w:t xml:space="preserve">）</w:t>
            </w:r>
            <w:r>
              <w:rPr>
                <w:rFonts w:hint="eastAsia" w:hAnsi="宋体"/>
                <w:color w:val="auto"/>
                <w:szCs w:val="21"/>
                <w:highlight w:val="none"/>
              </w:rPr>
              <w:t xml:space="preserve">×10（精确到小数点后</w:t>
            </w:r>
            <w:r>
              <w:rPr>
                <w:rFonts w:hint="eastAsia" w:hAnsi="宋体"/>
                <w:color w:val="auto"/>
                <w:szCs w:val="21"/>
                <w:highlight w:val="none"/>
                <w:lang w:eastAsia="zh-CN"/>
              </w:rPr>
              <w:t xml:space="preserve">两位）</w:t>
            </w:r>
            <w:r>
              <w:rPr>
                <w:rFonts w:hint="eastAsia" w:hAnsi="宋体"/>
                <w:color w:val="auto"/>
                <w:szCs w:val="21"/>
                <w:highlight w:val="none"/>
              </w:rPr>
              <w:t xml:space="preserve">。</w:t>
            </w:r>
            <w:r/>
          </w:p>
        </w:tc>
      </w:tr>
      <w:tr>
        <w:trPr>
          <w:cantSplit/>
          <w:trHeight w:val="1092"/>
        </w:trPr>
        <w:tc>
          <w:tcPr>
            <w:tcBorders>
              <w:top w:val="single" w:color="000000" w:sz="6" w:space="0"/>
              <w:left w:val="single" w:color="000000" w:sz="6" w:space="0"/>
              <w:right w:val="single" w:color="000000" w:sz="6" w:space="0"/>
            </w:tcBorders>
            <w:tcW w:w="84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商务</w:t>
            </w:r>
            <w:r/>
          </w:p>
          <w:p>
            <w:pPr>
              <w:jc w:val="center"/>
              <w:rPr>
                <w:rFonts w:ascii="宋体" w:hAnsi="宋体"/>
                <w:color w:val="auto"/>
                <w:szCs w:val="21"/>
                <w:highlight w:val="none"/>
              </w:rPr>
            </w:pPr>
            <w:r>
              <w:rPr>
                <w:rFonts w:hint="eastAsia" w:ascii="宋体" w:hAnsi="宋体"/>
                <w:color w:val="auto"/>
                <w:szCs w:val="21"/>
                <w:highlight w:val="none"/>
              </w:rPr>
              <w:t xml:space="preserve">部分</w:t>
            </w:r>
            <w:r/>
          </w:p>
          <w:p>
            <w:pPr>
              <w:jc w:val="center"/>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50</w:t>
            </w:r>
            <w:r>
              <w:rPr>
                <w:rFonts w:hint="eastAsia" w:ascii="宋体" w:hAnsi="宋体"/>
                <w:color w:val="auto"/>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企业实力</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422"/>
              <w:jc w:val="left"/>
              <w:rPr>
                <w:rFonts w:hint="eastAsia" w:ascii="宋体" w:hAnsi="宋体"/>
                <w:color w:val="auto"/>
                <w:szCs w:val="21"/>
                <w:highlight w:val="none"/>
              </w:rPr>
            </w:pPr>
            <w:r>
              <w:rPr>
                <w:rFonts w:hint="eastAsia" w:ascii="宋体" w:hAnsi="宋体"/>
                <w:color w:val="auto"/>
                <w:szCs w:val="21"/>
                <w:highlight w:val="none"/>
              </w:rPr>
              <w:t xml:space="preserve">（1）供应商具有有效期内的ISO9001质量管理体系认证得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分。响应文件中提供证书原件彩色扫描件，未提供不得分。</w:t>
            </w:r>
            <w:r/>
          </w:p>
          <w:p>
            <w:pPr>
              <w:ind w:firstLine="422"/>
              <w:jc w:val="left"/>
              <w:rPr>
                <w:rFonts w:ascii="宋体" w:hAnsi="宋体" w:cs="宋体"/>
                <w:b/>
                <w:color w:val="auto"/>
                <w:szCs w:val="21"/>
                <w:highlight w:val="none"/>
              </w:rPr>
            </w:pPr>
            <w:r>
              <w:rPr>
                <w:rFonts w:hint="eastAsia" w:ascii="宋体" w:hAnsi="宋体"/>
                <w:color w:val="auto"/>
                <w:szCs w:val="21"/>
                <w:highlight w:val="none"/>
              </w:rPr>
              <w:t xml:space="preserve">（2）自2020年以来（以相关证明材料日期为准），供应商参与过行政主管部门自然资源相关规程规范编制的，其中省级及以上规程规范编制得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分，地市级规程规范编制得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分，未参与的不得分，本项最高为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响应文件中</w:t>
            </w:r>
            <w:r>
              <w:rPr>
                <w:rFonts w:hint="eastAsia" w:ascii="宋体" w:hAnsi="宋体"/>
                <w:color w:val="auto"/>
                <w:szCs w:val="21"/>
                <w:highlight w:val="none"/>
              </w:rPr>
              <w:t xml:space="preserve">需提供供应商参与规程规范编制证明页及行政主管部门颁布规程规范实施文件的证明材料，缺一项不得分。 </w:t>
            </w:r>
            <w:r/>
          </w:p>
        </w:tc>
      </w:tr>
      <w:tr>
        <w:trPr>
          <w:cantSplit/>
          <w:trHeight w:val="694"/>
        </w:trPr>
        <w:tc>
          <w:tcPr>
            <w:tcBorders>
              <w:left w:val="single" w:color="000000" w:sz="6" w:space="0"/>
              <w:right w:val="single" w:color="000000" w:sz="6" w:space="0"/>
            </w:tcBorders>
            <w:tcW w:w="845"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hint="default"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 xml:space="preserve">奖项荣誉</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hint="default"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 xml:space="preserve">12分</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（1）供应商承担的土地或规划类项目，业主或供应商获得国家级奖项或荣誉，每提供一个得</w:t>
            </w:r>
            <w:r>
              <w:rPr>
                <w:rFonts w:hint="eastAsia" w:hAnsi="宋体" w:cstheme="minorBidi"/>
                <w:color w:val="auto"/>
                <w:sz w:val="21"/>
                <w:szCs w:val="21"/>
                <w:highlight w:val="none"/>
                <w:lang w:val="en-US" w:eastAsia="zh-CN" w:bidi="ar-SA"/>
              </w:rPr>
              <w:t xml:space="preserve">2</w:t>
            </w:r>
            <w:r>
              <w:rPr>
                <w:rFonts w:hint="eastAsia" w:ascii="宋体" w:hAnsi="宋体" w:eastAsiaTheme="minorEastAsia" w:cstheme="minorBidi"/>
                <w:color w:val="auto"/>
                <w:sz w:val="21"/>
                <w:szCs w:val="21"/>
                <w:highlight w:val="none"/>
                <w:lang w:val="en-US" w:eastAsia="zh-CN" w:bidi="ar-SA"/>
              </w:rPr>
              <w:t xml:space="preserve">分；获得省级荣誉，每提供一个得</w:t>
            </w:r>
            <w:r>
              <w:rPr>
                <w:rFonts w:hint="eastAsia" w:hAnsi="宋体" w:cstheme="minorBidi"/>
                <w:color w:val="auto"/>
                <w:sz w:val="21"/>
                <w:szCs w:val="21"/>
                <w:highlight w:val="none"/>
                <w:lang w:val="en-US" w:eastAsia="zh-CN" w:bidi="ar-SA"/>
              </w:rPr>
              <w:t xml:space="preserve">1</w:t>
            </w:r>
            <w:r>
              <w:rPr>
                <w:rFonts w:hint="eastAsia" w:ascii="宋体" w:hAnsi="宋体" w:eastAsiaTheme="minorEastAsia" w:cstheme="minorBidi"/>
                <w:color w:val="auto"/>
                <w:sz w:val="21"/>
                <w:szCs w:val="21"/>
                <w:highlight w:val="none"/>
                <w:lang w:val="en-US" w:eastAsia="zh-CN" w:bidi="ar-SA"/>
              </w:rPr>
              <w:t xml:space="preserve">分，最高得</w:t>
            </w:r>
            <w:r>
              <w:rPr>
                <w:rFonts w:hint="eastAsia" w:hAnsi="宋体" w:cstheme="minorBidi"/>
                <w:color w:val="auto"/>
                <w:sz w:val="21"/>
                <w:szCs w:val="21"/>
                <w:highlight w:val="none"/>
                <w:lang w:val="en-US" w:eastAsia="zh-CN" w:bidi="ar-SA"/>
              </w:rPr>
              <w:t xml:space="preserve">6</w:t>
            </w:r>
            <w:r>
              <w:rPr>
                <w:rFonts w:hint="eastAsia" w:ascii="宋体" w:hAnsi="宋体" w:eastAsiaTheme="minorEastAsia" w:cstheme="minorBidi"/>
                <w:color w:val="auto"/>
                <w:sz w:val="21"/>
                <w:szCs w:val="21"/>
                <w:highlight w:val="none"/>
                <w:lang w:val="en-US" w:eastAsia="zh-CN" w:bidi="ar-SA"/>
              </w:rPr>
              <w:t xml:space="preserve">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（2）供应商承担项目</w:t>
            </w:r>
            <w:r>
              <w:rPr>
                <w:rFonts w:hint="eastAsia" w:hAnsi="宋体" w:cstheme="minorBidi"/>
                <w:color w:val="auto"/>
                <w:sz w:val="21"/>
                <w:szCs w:val="21"/>
                <w:highlight w:val="none"/>
                <w:lang w:val="en-US" w:eastAsia="zh-CN" w:bidi="ar-SA"/>
              </w:rPr>
              <w:t xml:space="preserve">获得</w:t>
            </w:r>
            <w:r>
              <w:rPr>
                <w:rFonts w:hint="eastAsia" w:ascii="宋体" w:hAnsi="宋体" w:eastAsiaTheme="minorEastAsia" w:cstheme="minorBidi"/>
                <w:color w:val="auto"/>
                <w:sz w:val="21"/>
                <w:szCs w:val="21"/>
                <w:highlight w:val="none"/>
                <w:lang w:val="en-US" w:eastAsia="zh-CN" w:bidi="ar-SA"/>
              </w:rPr>
              <w:t xml:space="preserve">省级及以上土地科学技术或规划类奖项的，</w:t>
            </w:r>
            <w:r>
              <w:rPr>
                <w:rFonts w:hint="eastAsia" w:hAnsi="宋体" w:cstheme="minorBidi"/>
                <w:color w:val="auto"/>
                <w:sz w:val="21"/>
                <w:szCs w:val="21"/>
                <w:highlight w:val="none"/>
                <w:lang w:val="en-US" w:eastAsia="zh-CN" w:bidi="ar-SA"/>
              </w:rPr>
              <w:t xml:space="preserve">一等奖</w:t>
            </w:r>
            <w:r>
              <w:rPr>
                <w:rFonts w:hint="eastAsia" w:ascii="宋体" w:hAnsi="宋体" w:eastAsiaTheme="minorEastAsia" w:cstheme="minorBidi"/>
                <w:color w:val="auto"/>
                <w:sz w:val="21"/>
                <w:szCs w:val="21"/>
                <w:highlight w:val="none"/>
                <w:lang w:val="en-US" w:eastAsia="zh-CN" w:bidi="ar-SA"/>
              </w:rPr>
              <w:t xml:space="preserve">得3分；二等奖得2分，三等奖得1分，以最高奖项为准，不重复计分，本项最高得3分。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（3）供应商在省级及以上学会组织的国土空间规划类知识竞赛中荣获奖项的得</w:t>
            </w:r>
            <w:r>
              <w:rPr>
                <w:rFonts w:hint="eastAsia" w:hAnsi="宋体" w:cstheme="minorBidi"/>
                <w:color w:val="auto"/>
                <w:sz w:val="21"/>
                <w:szCs w:val="21"/>
                <w:highlight w:val="none"/>
                <w:lang w:val="en-US" w:eastAsia="zh-CN" w:bidi="ar-SA"/>
              </w:rPr>
              <w:t xml:space="preserve">3</w:t>
            </w:r>
            <w:r>
              <w:rPr>
                <w:rFonts w:hint="eastAsia" w:ascii="宋体" w:hAnsi="宋体" w:eastAsiaTheme="minorEastAsia" w:cstheme="minorBidi"/>
                <w:color w:val="auto"/>
                <w:sz w:val="21"/>
                <w:szCs w:val="21"/>
                <w:highlight w:val="none"/>
                <w:lang w:val="en-US" w:eastAsia="zh-CN" w:bidi="ar-SA"/>
              </w:rPr>
              <w:t xml:space="preserve">分，最高得</w:t>
            </w:r>
            <w:r>
              <w:rPr>
                <w:rFonts w:hint="eastAsia" w:hAnsi="宋体" w:cstheme="minorBidi"/>
                <w:color w:val="auto"/>
                <w:sz w:val="21"/>
                <w:szCs w:val="21"/>
                <w:highlight w:val="none"/>
                <w:lang w:val="en-US" w:eastAsia="zh-CN" w:bidi="ar-SA"/>
              </w:rPr>
              <w:t xml:space="preserve">3</w:t>
            </w:r>
            <w:r>
              <w:rPr>
                <w:rFonts w:hint="eastAsia" w:ascii="宋体" w:hAnsi="宋体" w:eastAsiaTheme="minorEastAsia" w:cstheme="minorBidi"/>
                <w:color w:val="auto"/>
                <w:sz w:val="21"/>
                <w:szCs w:val="21"/>
                <w:highlight w:val="none"/>
                <w:lang w:val="en-US" w:eastAsia="zh-CN" w:bidi="ar-SA"/>
              </w:rPr>
              <w:t xml:space="preserve">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注：响应文件中需提供相关证明材料并加盖公章的扫描件，未提供不得分。同一个项目供应商获奖或招标主体获奖不重复计分。</w:t>
            </w:r>
            <w:r/>
          </w:p>
        </w:tc>
      </w:tr>
      <w:tr>
        <w:trPr>
          <w:cantSplit/>
          <w:trHeight w:val="760"/>
        </w:trPr>
        <w:tc>
          <w:tcPr>
            <w:tcBorders>
              <w:left w:val="single" w:color="000000" w:sz="6" w:space="0"/>
              <w:right w:val="single" w:color="000000" w:sz="6" w:space="0"/>
            </w:tcBorders>
            <w:tcW w:w="845"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6" w:space="0"/>
              <w:left w:val="single" w:color="000000" w:sz="6" w:space="0"/>
              <w:bottom w:val="single" w:color="000000" w:sz="4" w:space="0"/>
              <w:right w:val="single" w:color="000000" w:sz="6" w:space="0"/>
            </w:tcBorders>
            <w:tcW w:w="99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业绩案例</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W w:w="6521" w:type="dxa"/>
            <w:textDirection w:val="lrTb"/>
            <w:noWrap w:val="false"/>
          </w:tcPr>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（1）2020年以来，供应商承担过低效用地再开发规划、计划</w:t>
            </w:r>
            <w:r>
              <w:rPr>
                <w:rFonts w:hint="eastAsia" w:hAnsi="宋体" w:cstheme="minorBidi"/>
                <w:color w:val="auto"/>
                <w:sz w:val="21"/>
                <w:szCs w:val="21"/>
                <w:highlight w:val="none"/>
                <w:lang w:val="en-US" w:eastAsia="zh-CN" w:bidi="ar-SA"/>
              </w:rPr>
              <w:t xml:space="preserve">类</w:t>
            </w:r>
            <w:r>
              <w:rPr>
                <w:rFonts w:hint="eastAsia" w:ascii="宋体" w:hAnsi="宋体" w:eastAsiaTheme="minorEastAsia" w:cstheme="minorBidi"/>
                <w:color w:val="auto"/>
                <w:sz w:val="21"/>
                <w:szCs w:val="21"/>
                <w:highlight w:val="none"/>
                <w:lang w:val="en-US" w:eastAsia="zh-CN" w:bidi="ar-SA"/>
              </w:rPr>
              <w:t xml:space="preserve">项目的，以项目合同为准，有一例得1分，最高得5分。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（2）2020年以来，供应商承担过产业园调查或提质增效</w:t>
            </w:r>
            <w:r>
              <w:rPr>
                <w:rFonts w:hint="eastAsia" w:hAnsi="宋体" w:cstheme="minorBidi"/>
                <w:color w:val="auto"/>
                <w:sz w:val="21"/>
                <w:szCs w:val="21"/>
                <w:highlight w:val="none"/>
                <w:lang w:val="en-US" w:eastAsia="zh-CN" w:bidi="ar-SA"/>
              </w:rPr>
              <w:t xml:space="preserve">类</w:t>
            </w:r>
            <w:r>
              <w:rPr>
                <w:rFonts w:hint="eastAsia" w:ascii="宋体" w:hAnsi="宋体" w:eastAsiaTheme="minorEastAsia" w:cstheme="minorBidi"/>
                <w:color w:val="auto"/>
                <w:sz w:val="21"/>
                <w:szCs w:val="21"/>
                <w:highlight w:val="none"/>
                <w:lang w:val="en-US" w:eastAsia="zh-CN" w:bidi="ar-SA"/>
              </w:rPr>
              <w:t xml:space="preserve">项目的，以项目合同为准，有一例得1分，最高得3分。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w:t>
            </w:r>
            <w:r>
              <w:rPr>
                <w:rFonts w:hint="eastAsia" w:hAnsi="宋体" w:cstheme="minorBidi"/>
                <w:color w:val="auto"/>
                <w:sz w:val="21"/>
                <w:szCs w:val="21"/>
                <w:highlight w:val="none"/>
                <w:lang w:val="en-US" w:eastAsia="zh-CN" w:bidi="ar-SA"/>
              </w:rPr>
              <w:t xml:space="preserve">3</w:t>
            </w:r>
            <w:r>
              <w:rPr>
                <w:rFonts w:hint="eastAsia" w:ascii="宋体" w:hAnsi="宋体" w:eastAsiaTheme="minorEastAsia" w:cstheme="minorBidi"/>
                <w:color w:val="auto"/>
                <w:sz w:val="21"/>
                <w:szCs w:val="21"/>
                <w:highlight w:val="none"/>
                <w:lang w:val="en-US" w:eastAsia="zh-CN" w:bidi="ar-SA"/>
              </w:rPr>
              <w:t xml:space="preserve">）2020年以来，供应商承担过地级市及以上国土空间总体规划</w:t>
            </w:r>
            <w:r>
              <w:rPr>
                <w:rFonts w:hint="eastAsia" w:hAnsi="宋体" w:cstheme="minorBidi"/>
                <w:color w:val="auto"/>
                <w:sz w:val="21"/>
                <w:szCs w:val="21"/>
                <w:highlight w:val="none"/>
                <w:lang w:val="en-US" w:eastAsia="zh-CN" w:bidi="ar-SA"/>
              </w:rPr>
              <w:t xml:space="preserve">类</w:t>
            </w:r>
            <w:r>
              <w:rPr>
                <w:rFonts w:hint="eastAsia" w:ascii="宋体" w:hAnsi="宋体" w:eastAsiaTheme="minorEastAsia" w:cstheme="minorBidi"/>
                <w:color w:val="auto"/>
                <w:sz w:val="21"/>
                <w:szCs w:val="21"/>
                <w:highlight w:val="none"/>
                <w:lang w:val="en-US" w:eastAsia="zh-CN" w:bidi="ar-SA"/>
              </w:rPr>
              <w:t xml:space="preserve">项目的，以项目合同为准，有一例得</w:t>
            </w:r>
            <w:r>
              <w:rPr>
                <w:rFonts w:hint="eastAsia" w:hAnsi="宋体" w:cstheme="minorBidi"/>
                <w:color w:val="auto"/>
                <w:sz w:val="21"/>
                <w:szCs w:val="21"/>
                <w:highlight w:val="none"/>
                <w:lang w:val="en-US" w:eastAsia="zh-CN" w:bidi="ar-SA"/>
              </w:rPr>
              <w:t xml:space="preserve">2</w:t>
            </w:r>
            <w:r>
              <w:rPr>
                <w:rFonts w:hint="eastAsia" w:ascii="宋体" w:hAnsi="宋体" w:eastAsiaTheme="minorEastAsia" w:cstheme="minorBidi"/>
                <w:color w:val="auto"/>
                <w:sz w:val="21"/>
                <w:szCs w:val="21"/>
                <w:highlight w:val="none"/>
                <w:lang w:val="en-US" w:eastAsia="zh-CN" w:bidi="ar-SA"/>
              </w:rPr>
              <w:t xml:space="preserve">分，最高得</w:t>
            </w:r>
            <w:r>
              <w:rPr>
                <w:rFonts w:hint="eastAsia" w:hAnsi="宋体" w:cstheme="minorBidi"/>
                <w:color w:val="auto"/>
                <w:sz w:val="21"/>
                <w:szCs w:val="21"/>
                <w:highlight w:val="none"/>
                <w:lang w:val="en-US" w:eastAsia="zh-CN" w:bidi="ar-SA"/>
              </w:rPr>
              <w:t xml:space="preserve">4</w:t>
            </w:r>
            <w:r>
              <w:rPr>
                <w:rFonts w:hint="eastAsia" w:ascii="宋体" w:hAnsi="宋体" w:eastAsiaTheme="minorEastAsia" w:cstheme="minorBidi"/>
                <w:color w:val="auto"/>
                <w:sz w:val="21"/>
                <w:szCs w:val="21"/>
                <w:highlight w:val="none"/>
                <w:lang w:val="en-US" w:eastAsia="zh-CN" w:bidi="ar-SA"/>
              </w:rPr>
              <w:t xml:space="preserve">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注：相关业绩</w:t>
            </w:r>
            <w:r>
              <w:rPr>
                <w:rFonts w:hint="eastAsia" w:hAnsi="宋体" w:cstheme="minorBidi"/>
                <w:color w:val="auto"/>
                <w:sz w:val="21"/>
                <w:szCs w:val="21"/>
                <w:highlight w:val="none"/>
                <w:lang w:val="en-US" w:eastAsia="zh-CN" w:bidi="ar-SA"/>
              </w:rPr>
              <w:t xml:space="preserve">时间以</w:t>
            </w:r>
            <w:r>
              <w:rPr>
                <w:rFonts w:hint="eastAsia" w:ascii="宋体" w:hAnsi="宋体" w:eastAsiaTheme="minorEastAsia" w:cstheme="minorBidi"/>
                <w:color w:val="auto"/>
                <w:sz w:val="21"/>
                <w:szCs w:val="21"/>
                <w:highlight w:val="none"/>
                <w:lang w:val="en-US" w:eastAsia="zh-CN" w:bidi="ar-SA"/>
              </w:rPr>
              <w:t xml:space="preserve">合同</w:t>
            </w:r>
            <w:r>
              <w:rPr>
                <w:rFonts w:hint="eastAsia" w:hAnsi="宋体" w:cstheme="minorBidi"/>
                <w:color w:val="auto"/>
                <w:sz w:val="21"/>
                <w:szCs w:val="21"/>
                <w:highlight w:val="none"/>
                <w:lang w:val="en-US" w:eastAsia="zh-CN" w:bidi="ar-SA"/>
              </w:rPr>
              <w:t xml:space="preserve">签订时间</w:t>
            </w:r>
            <w:r>
              <w:rPr>
                <w:rFonts w:hint="eastAsia" w:ascii="宋体" w:hAnsi="宋体" w:eastAsiaTheme="minorEastAsia" w:cstheme="minorBidi"/>
                <w:color w:val="auto"/>
                <w:sz w:val="21"/>
                <w:szCs w:val="21"/>
                <w:highlight w:val="none"/>
                <w:lang w:val="en-US" w:eastAsia="zh-CN" w:bidi="ar-SA"/>
              </w:rPr>
              <w:t xml:space="preserve">为准，其他单位转包、分包的业绩无效，</w:t>
            </w:r>
            <w:r>
              <w:rPr>
                <w:rFonts w:hint="eastAsia" w:hAnsi="宋体" w:cstheme="minorBidi"/>
                <w:color w:val="auto"/>
                <w:sz w:val="21"/>
                <w:szCs w:val="21"/>
                <w:highlight w:val="none"/>
                <w:lang w:val="en-US" w:eastAsia="zh-CN" w:bidi="ar-SA"/>
              </w:rPr>
              <w:t xml:space="preserve">响应文件中需</w:t>
            </w:r>
            <w:r>
              <w:rPr>
                <w:rFonts w:hint="eastAsia" w:ascii="宋体" w:hAnsi="宋体" w:eastAsiaTheme="minorEastAsia" w:cstheme="minorBidi"/>
                <w:color w:val="auto"/>
                <w:sz w:val="21"/>
                <w:szCs w:val="21"/>
                <w:highlight w:val="none"/>
                <w:lang w:val="en-US" w:eastAsia="zh-CN" w:bidi="ar-SA"/>
              </w:rPr>
              <w:t xml:space="preserve">提供合同原件的扫描件，否则不得分。</w:t>
            </w:r>
            <w:r/>
          </w:p>
        </w:tc>
      </w:tr>
      <w:tr>
        <w:trPr>
          <w:cantSplit/>
          <w:trHeight w:val="760"/>
        </w:trPr>
        <w:tc>
          <w:tcPr>
            <w:tcBorders>
              <w:left w:val="single" w:color="000000" w:sz="6" w:space="0"/>
              <w:right w:val="single" w:color="000000" w:sz="6" w:space="0"/>
            </w:tcBorders>
            <w:tcW w:w="845"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6" w:space="0"/>
              <w:left w:val="single" w:color="000000" w:sz="6" w:space="0"/>
              <w:bottom w:val="single" w:color="000000" w:sz="4" w:space="0"/>
              <w:right w:val="single" w:color="000000" w:sz="6" w:space="0"/>
            </w:tcBorders>
            <w:tcW w:w="993" w:type="dxa"/>
            <w:vAlign w:val="center"/>
            <w:textDirection w:val="lrTb"/>
            <w:noWrap w:val="false"/>
          </w:tcPr>
          <w:p>
            <w:pPr>
              <w:jc w:val="center"/>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项目团队</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20</w:t>
            </w:r>
            <w:r/>
          </w:p>
        </w:tc>
        <w:tc>
          <w:tcPr>
            <w:tcBorders>
              <w:top w:val="single" w:color="000000" w:sz="6" w:space="0"/>
              <w:left w:val="single" w:color="000000" w:sz="6" w:space="0"/>
              <w:bottom w:val="single" w:color="000000" w:sz="6" w:space="0"/>
              <w:right w:val="single" w:color="000000" w:sz="6" w:space="0"/>
            </w:tcBorders>
            <w:tcW w:w="6521" w:type="dxa"/>
            <w:textDirection w:val="lrTb"/>
            <w:noWrap w:val="false"/>
          </w:tcPr>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w:t>
            </w:r>
            <w:r>
              <w:rPr>
                <w:rFonts w:hint="eastAsia" w:hAnsi="宋体" w:cstheme="minorBidi"/>
                <w:color w:val="auto"/>
                <w:sz w:val="21"/>
                <w:szCs w:val="21"/>
                <w:highlight w:val="none"/>
                <w:lang w:val="en-US" w:eastAsia="zh-CN" w:bidi="ar-SA"/>
              </w:rPr>
              <w:t xml:space="preserve">一</w:t>
            </w:r>
            <w:r>
              <w:rPr>
                <w:rFonts w:hint="eastAsia" w:ascii="宋体" w:hAnsi="宋体" w:eastAsiaTheme="minorEastAsia" w:cstheme="minorBidi"/>
                <w:color w:val="auto"/>
                <w:sz w:val="21"/>
                <w:szCs w:val="21"/>
                <w:highlight w:val="none"/>
                <w:lang w:val="en-US" w:eastAsia="zh-CN" w:bidi="ar-SA"/>
              </w:rPr>
              <w:t xml:space="preserve">）项目负责人：</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（1）供应商拟派的项目负责人为土地或规划专业高级职称的得2分，中级职称的得1分；</w:t>
            </w:r>
            <w:bookmarkStart w:id="163" w:name="OLE_LINK5"/>
            <w:r>
              <w:rPr>
                <w:rFonts w:hint="eastAsia" w:ascii="宋体" w:hAnsi="宋体" w:eastAsiaTheme="minorEastAsia" w:cstheme="minorBidi"/>
                <w:color w:val="auto"/>
                <w:sz w:val="21"/>
                <w:szCs w:val="21"/>
                <w:highlight w:val="none"/>
                <w:lang w:val="en-US" w:eastAsia="zh-CN" w:bidi="ar-SA"/>
              </w:rPr>
              <w:t xml:space="preserve">同时具备</w:t>
            </w:r>
            <w:bookmarkEnd w:id="163"/>
            <w:r>
              <w:rPr>
                <w:rFonts w:hint="eastAsia" w:ascii="宋体" w:hAnsi="宋体" w:eastAsiaTheme="minorEastAsia" w:cstheme="minorBidi"/>
                <w:color w:val="auto"/>
                <w:sz w:val="21"/>
                <w:szCs w:val="21"/>
                <w:highlight w:val="none"/>
                <w:lang w:val="en-US" w:eastAsia="zh-CN" w:bidi="ar-SA"/>
              </w:rPr>
              <w:t xml:space="preserve">注册城乡规划师证书的得1分，同时具备</w:t>
            </w:r>
            <w:r>
              <w:rPr>
                <w:rFonts w:hint="eastAsia" w:hAnsi="宋体" w:cstheme="minorBidi"/>
                <w:color w:val="auto"/>
                <w:sz w:val="21"/>
                <w:szCs w:val="21"/>
                <w:highlight w:val="none"/>
                <w:lang w:val="en-US" w:eastAsia="zh-CN" w:bidi="ar-SA"/>
              </w:rPr>
              <w:t xml:space="preserve">省级及以上</w:t>
            </w:r>
            <w:r>
              <w:rPr>
                <w:rFonts w:hint="eastAsia" w:ascii="宋体" w:hAnsi="宋体" w:eastAsiaTheme="minorEastAsia" w:cstheme="minorBidi"/>
                <w:color w:val="auto"/>
                <w:sz w:val="21"/>
                <w:szCs w:val="21"/>
                <w:highlight w:val="none"/>
                <w:lang w:val="en-US" w:eastAsia="zh-CN" w:bidi="ar-SA"/>
              </w:rPr>
              <w:t xml:space="preserve">奖项或荣誉</w:t>
            </w:r>
            <w:r>
              <w:rPr>
                <w:rFonts w:hint="eastAsia" w:hAnsi="宋体" w:cstheme="minorBidi"/>
                <w:color w:val="auto"/>
                <w:sz w:val="21"/>
                <w:szCs w:val="21"/>
                <w:highlight w:val="none"/>
                <w:lang w:val="en-US" w:eastAsia="zh-CN" w:bidi="ar-SA"/>
              </w:rPr>
              <w:t xml:space="preserve">的每个奖项得1分，</w:t>
            </w:r>
            <w:r>
              <w:rPr>
                <w:rFonts w:hint="eastAsia" w:ascii="宋体" w:hAnsi="宋体" w:eastAsiaTheme="minorEastAsia" w:cstheme="minorBidi"/>
                <w:color w:val="auto"/>
                <w:sz w:val="21"/>
                <w:szCs w:val="21"/>
                <w:highlight w:val="none"/>
                <w:lang w:val="en-US" w:eastAsia="zh-CN" w:bidi="ar-SA"/>
              </w:rPr>
              <w:t xml:space="preserve">本项最高得</w:t>
            </w:r>
            <w:r>
              <w:rPr>
                <w:rFonts w:hint="eastAsia" w:hAnsi="宋体" w:cstheme="minorBidi"/>
                <w:color w:val="auto"/>
                <w:sz w:val="21"/>
                <w:szCs w:val="21"/>
                <w:highlight w:val="none"/>
                <w:lang w:val="en-US" w:eastAsia="zh-CN" w:bidi="ar-SA"/>
              </w:rPr>
              <w:t xml:space="preserve">5</w:t>
            </w:r>
            <w:r>
              <w:rPr>
                <w:rFonts w:hint="eastAsia" w:ascii="宋体" w:hAnsi="宋体" w:eastAsiaTheme="minorEastAsia" w:cstheme="minorBidi"/>
                <w:color w:val="auto"/>
                <w:sz w:val="21"/>
                <w:szCs w:val="21"/>
                <w:highlight w:val="none"/>
                <w:lang w:val="en-US" w:eastAsia="zh-CN" w:bidi="ar-SA"/>
              </w:rPr>
              <w:t xml:space="preserve">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（二）拟派项目组成员（除项目负责人以外，一人同时具备的职称证书和城乡规划师证书只认其一，不重复计分；专业以职称证书或职称评审表所示专业为准；同一人员按最高得分只计取一次，按最高得分计取</w:t>
            </w:r>
            <w:r>
              <w:rPr>
                <w:rFonts w:hint="eastAsia" w:hAnsi="宋体" w:cstheme="minorBidi"/>
                <w:color w:val="auto"/>
                <w:sz w:val="21"/>
                <w:szCs w:val="21"/>
                <w:highlight w:val="none"/>
                <w:lang w:val="en-US" w:eastAsia="zh-CN" w:bidi="ar-SA"/>
              </w:rPr>
              <w:t xml:space="preserve">）</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（1）拟派项目组人员中具备土地或规划专业高级及以上职称的得1分，具备土地或规划专业中级职称的得0.5分，本项最高得</w:t>
            </w:r>
            <w:r>
              <w:rPr>
                <w:rFonts w:hint="eastAsia" w:hAnsi="宋体" w:cstheme="minorBidi"/>
                <w:color w:val="auto"/>
                <w:sz w:val="21"/>
                <w:szCs w:val="21"/>
                <w:highlight w:val="none"/>
                <w:lang w:val="en-US" w:eastAsia="zh-CN" w:bidi="ar-SA"/>
              </w:rPr>
              <w:t xml:space="preserve">5</w:t>
            </w:r>
            <w:r>
              <w:rPr>
                <w:rFonts w:hint="eastAsia" w:ascii="宋体" w:hAnsi="宋体" w:eastAsiaTheme="minorEastAsia" w:cstheme="minorBidi"/>
                <w:color w:val="auto"/>
                <w:sz w:val="21"/>
                <w:szCs w:val="21"/>
                <w:highlight w:val="none"/>
                <w:lang w:val="en-US" w:eastAsia="zh-CN" w:bidi="ar-SA"/>
              </w:rPr>
              <w:t xml:space="preserve">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（2）拟派项目组人员具备国家注册城乡规划师证书的每有一个得1分，本项最高得10分。</w:t>
            </w:r>
            <w:r/>
          </w:p>
          <w:p>
            <w:pPr>
              <w:pStyle w:val="859"/>
              <w:ind w:firstLine="402"/>
              <w:jc w:val="left"/>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注：以上人员需为公司在职人员</w:t>
            </w:r>
            <w:r>
              <w:rPr>
                <w:rFonts w:hint="eastAsia" w:hAnsi="宋体" w:cstheme="minorBidi"/>
                <w:color w:val="auto"/>
                <w:sz w:val="21"/>
                <w:szCs w:val="21"/>
                <w:highlight w:val="none"/>
                <w:lang w:val="en-US" w:eastAsia="zh-CN" w:bidi="ar-SA"/>
              </w:rPr>
              <w:t xml:space="preserve">。</w:t>
            </w:r>
            <w:r>
              <w:rPr>
                <w:rFonts w:hint="eastAsia" w:ascii="宋体" w:hAnsi="宋体" w:eastAsiaTheme="minorEastAsia" w:cstheme="minorBidi"/>
                <w:color w:val="auto"/>
                <w:sz w:val="21"/>
                <w:szCs w:val="21"/>
                <w:highlight w:val="none"/>
                <w:lang w:val="en-US" w:eastAsia="zh-CN" w:bidi="ar-SA"/>
              </w:rPr>
              <w:t xml:space="preserve">同时提供</w:t>
            </w:r>
            <w:r>
              <w:rPr>
                <w:rFonts w:hint="eastAsia" w:hAnsi="宋体" w:cstheme="minorBidi"/>
                <w:color w:val="auto"/>
                <w:sz w:val="21"/>
                <w:szCs w:val="21"/>
                <w:highlight w:val="none"/>
                <w:lang w:val="en-US" w:eastAsia="zh-CN" w:bidi="ar-SA"/>
              </w:rPr>
              <w:t xml:space="preserve">供应商为相关人员</w:t>
            </w:r>
            <w:r>
              <w:rPr>
                <w:rFonts w:hint="eastAsia" w:ascii="宋体" w:hAnsi="宋体" w:eastAsiaTheme="minorEastAsia" w:cstheme="minorBidi"/>
                <w:color w:val="auto"/>
                <w:sz w:val="21"/>
                <w:szCs w:val="21"/>
                <w:highlight w:val="none"/>
                <w:lang w:val="en-US" w:eastAsia="zh-CN" w:bidi="ar-SA"/>
              </w:rPr>
              <w:t xml:space="preserve">缴纳社保的证明</w:t>
            </w:r>
            <w:r>
              <w:rPr>
                <w:rFonts w:hint="eastAsia" w:hAnsi="宋体" w:cstheme="minorBidi"/>
                <w:color w:val="auto"/>
                <w:sz w:val="21"/>
                <w:szCs w:val="21"/>
                <w:highlight w:val="none"/>
                <w:lang w:val="en-US" w:eastAsia="zh-CN" w:bidi="ar-SA"/>
              </w:rPr>
              <w:t xml:space="preserve">材料</w:t>
            </w:r>
            <w:r>
              <w:rPr>
                <w:rFonts w:hint="eastAsia" w:ascii="宋体" w:hAnsi="宋体" w:eastAsiaTheme="minorEastAsia" w:cstheme="minorBidi"/>
                <w:color w:val="auto"/>
                <w:sz w:val="21"/>
                <w:szCs w:val="21"/>
                <w:highlight w:val="none"/>
                <w:lang w:val="en-US" w:eastAsia="zh-CN" w:bidi="ar-SA"/>
              </w:rPr>
              <w:t xml:space="preserve">和上述得分证明材料制作进入</w:t>
            </w:r>
            <w:r>
              <w:rPr>
                <w:rFonts w:hint="eastAsia" w:hAnsi="宋体" w:cstheme="minorBidi"/>
                <w:color w:val="auto"/>
                <w:sz w:val="21"/>
                <w:szCs w:val="21"/>
                <w:highlight w:val="none"/>
                <w:lang w:val="en-US" w:eastAsia="zh-CN" w:bidi="ar-SA"/>
              </w:rPr>
              <w:t xml:space="preserve">响应</w:t>
            </w:r>
            <w:r>
              <w:rPr>
                <w:rFonts w:hint="eastAsia" w:ascii="宋体" w:hAnsi="宋体" w:eastAsiaTheme="minorEastAsia" w:cstheme="minorBidi"/>
                <w:color w:val="auto"/>
                <w:sz w:val="21"/>
                <w:szCs w:val="21"/>
                <w:highlight w:val="none"/>
                <w:lang w:val="en-US" w:eastAsia="zh-CN" w:bidi="ar-SA"/>
              </w:rPr>
              <w:t xml:space="preserve">文件，未按要求提供或未提供证明材料的均不得分。</w:t>
            </w:r>
            <w:r/>
          </w:p>
        </w:tc>
      </w:tr>
      <w:tr>
        <w:trPr>
          <w:cantSplit/>
          <w:trHeight w:val="1195"/>
        </w:trPr>
        <w:tc>
          <w:tcPr>
            <w:tcBorders>
              <w:top w:val="single" w:color="000000" w:sz="4" w:space="0"/>
              <w:left w:val="single" w:color="000000" w:sz="6" w:space="0"/>
              <w:right w:val="single" w:color="000000" w:sz="6" w:space="0"/>
            </w:tcBorders>
            <w:tcW w:w="84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技术</w:t>
            </w:r>
            <w:r/>
          </w:p>
          <w:p>
            <w:pPr>
              <w:jc w:val="center"/>
              <w:rPr>
                <w:rFonts w:ascii="宋体" w:hAnsi="宋体"/>
                <w:color w:val="auto"/>
                <w:szCs w:val="21"/>
                <w:highlight w:val="none"/>
              </w:rPr>
            </w:pPr>
            <w:r>
              <w:rPr>
                <w:rFonts w:hint="eastAsia" w:ascii="宋体" w:hAnsi="宋体"/>
                <w:color w:val="auto"/>
                <w:szCs w:val="21"/>
                <w:highlight w:val="none"/>
              </w:rPr>
              <w:t xml:space="preserve">部分</w:t>
            </w:r>
            <w:r/>
          </w:p>
          <w:p>
            <w:pPr>
              <w:jc w:val="center"/>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ascii="宋体" w:hAnsi="宋体"/>
                <w:color w:val="auto"/>
                <w:szCs w:val="21"/>
                <w:highlight w:val="none"/>
              </w:rPr>
              <w:t xml:space="preserve">0</w:t>
            </w:r>
            <w:r>
              <w:rPr>
                <w:rFonts w:hint="eastAsia" w:ascii="宋体" w:hAnsi="宋体"/>
                <w:color w:val="auto"/>
                <w:szCs w:val="21"/>
                <w:highlight w:val="none"/>
              </w:rPr>
              <w:t xml:space="preserve">分）</w:t>
            </w:r>
            <w:r/>
          </w:p>
        </w:tc>
        <w:tc>
          <w:tcPr>
            <w:tcBorders>
              <w:top w:val="single" w:color="000000" w:sz="4" w:space="0"/>
              <w:left w:val="single" w:color="000000" w:sz="6" w:space="0"/>
              <w:right w:val="single" w:color="000000" w:sz="6" w:space="0"/>
            </w:tcBorders>
            <w:tcW w:w="99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技术路线及方案</w:t>
            </w:r>
            <w:r/>
          </w:p>
        </w:tc>
        <w:tc>
          <w:tcPr>
            <w:tcBorders>
              <w:top w:val="single" w:color="000000" w:sz="6" w:space="0"/>
              <w:left w:val="single" w:color="000000" w:sz="6" w:space="0"/>
              <w:right w:val="single" w:color="000000" w:sz="6" w:space="0"/>
            </w:tcBorders>
            <w:tcW w:w="7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420"/>
              <w:rPr>
                <w:rFonts w:ascii="宋体" w:hAnsi="宋体"/>
                <w:color w:val="auto"/>
                <w:szCs w:val="21"/>
                <w:highlight w:val="none"/>
              </w:rPr>
            </w:pPr>
            <w:r/>
            <w:bookmarkStart w:id="164" w:name="OLE_LINK6"/>
            <w:r>
              <w:rPr>
                <w:rFonts w:hint="eastAsia" w:ascii="宋体" w:hAnsi="宋体"/>
                <w:color w:val="auto"/>
                <w:szCs w:val="21"/>
                <w:highlight w:val="none"/>
              </w:rPr>
              <w:t xml:space="preserve">对本项工作背景、必要性、可行性及目标的理解情况，有技术路线图，对各项工作的逻辑关系及技术路线、作业流程进行描述，其正确、详细的程度。方案详细、切实可行、完整合理的10分；方案比较详细、比较可行、比较完整合理的得8分；方案不太详细、勉强可行、不太完整合理的得6分。不详细、不可行或未提供的得0分。</w:t>
            </w:r>
            <w:bookmarkEnd w:id="164"/>
            <w:r/>
            <w:r/>
          </w:p>
        </w:tc>
      </w:tr>
      <w:tr>
        <w:trPr>
          <w:cantSplit/>
        </w:trPr>
        <w:tc>
          <w:tcPr>
            <w:tcBorders>
              <w:left w:val="single" w:color="000000" w:sz="6" w:space="0"/>
              <w:right w:val="single" w:color="000000" w:sz="6" w:space="0"/>
            </w:tcBorders>
            <w:tcW w:w="845"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6" w:space="0"/>
              <w:bottom w:val="single" w:color="000000" w:sz="4" w:space="0"/>
              <w:right w:val="single" w:color="000000" w:sz="6" w:space="0"/>
            </w:tcBorders>
            <w:tcW w:w="99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质量控制目标和措施</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420"/>
              <w:rPr>
                <w:rFonts w:ascii="宋体" w:hAnsi="宋体"/>
                <w:color w:val="auto"/>
                <w:szCs w:val="21"/>
                <w:highlight w:val="none"/>
              </w:rPr>
            </w:pPr>
            <w:r>
              <w:rPr>
                <w:rFonts w:hint="eastAsia" w:ascii="宋体" w:hAnsi="宋体"/>
                <w:color w:val="auto"/>
                <w:szCs w:val="21"/>
                <w:highlight w:val="none"/>
              </w:rPr>
              <w:t xml:space="preserve">质量控制有总目标，质量保障体</w:t>
            </w:r>
            <w:r>
              <w:rPr>
                <w:rFonts w:hint="eastAsia" w:ascii="宋体" w:hAnsi="宋体"/>
                <w:color w:val="auto"/>
                <w:szCs w:val="21"/>
                <w:highlight w:val="none"/>
                <w:lang w:eastAsia="zh-CN"/>
              </w:rPr>
              <w:t xml:space="preserve">系和</w:t>
            </w:r>
            <w:r>
              <w:rPr>
                <w:rFonts w:hint="eastAsia" w:ascii="宋体" w:hAnsi="宋体"/>
                <w:color w:val="auto"/>
                <w:szCs w:val="21"/>
                <w:highlight w:val="none"/>
              </w:rPr>
              <w:t xml:space="preserve">措施完善具有可行性，对各阶段的质量进行了准确的目标分解，对质量控制各分解目标有明确的控制点且合理。措施详细、切实可行、完整合理的，得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分；措施比较详细、比较可行、比较完整合理的，得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分；措施不太详细、勉强可行、不太完整合理的，得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分。不详细、不可行或未提供的得0分。</w:t>
            </w:r>
            <w:r/>
          </w:p>
        </w:tc>
      </w:tr>
      <w:tr>
        <w:trPr>
          <w:cantSplit/>
        </w:trPr>
        <w:tc>
          <w:tcPr>
            <w:tcBorders>
              <w:left w:val="single" w:color="000000" w:sz="6" w:space="0"/>
              <w:right w:val="single" w:color="000000" w:sz="6" w:space="0"/>
            </w:tcBorders>
            <w:tcW w:w="845"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6" w:space="0"/>
              <w:bottom w:val="single" w:color="000000" w:sz="4" w:space="0"/>
              <w:right w:val="single" w:color="000000" w:sz="6" w:space="0"/>
            </w:tcBorders>
            <w:tcW w:w="99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进度控制目标和措施</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420"/>
              <w:rPr>
                <w:rFonts w:ascii="宋体" w:hAnsi="宋体"/>
                <w:color w:val="auto"/>
                <w:szCs w:val="21"/>
                <w:highlight w:val="none"/>
              </w:rPr>
            </w:pPr>
            <w:r>
              <w:rPr>
                <w:rFonts w:hint="eastAsia" w:ascii="宋体" w:hAnsi="宋体"/>
                <w:color w:val="auto"/>
                <w:szCs w:val="21"/>
                <w:highlight w:val="none"/>
              </w:rPr>
              <w:t xml:space="preserve">根据项目任务和时限要求，制定合理的项目进度实施计划，对突发情况引起工期滞后的提供得当的应急和弥补办法。措施详细、切实可行、完整合理的得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分；措施比较详细、比较可行、比较完整合理的，得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分；措施不太详细、勉强可行、不太完整合理的，得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分。不详细、不可行或未提供的得0分。</w:t>
            </w:r>
            <w:r/>
          </w:p>
        </w:tc>
      </w:tr>
      <w:tr>
        <w:trPr>
          <w:cantSplit/>
          <w:trHeight w:val="765"/>
        </w:trPr>
        <w:tc>
          <w:tcPr>
            <w:tcBorders>
              <w:left w:val="single" w:color="000000" w:sz="6" w:space="0"/>
              <w:right w:val="single" w:color="000000" w:sz="6" w:space="0"/>
            </w:tcBorders>
            <w:tcW w:w="845"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6" w:space="0"/>
              <w:bottom w:val="single" w:color="000000" w:sz="4" w:space="0"/>
              <w:right w:val="single" w:color="000000" w:sz="6" w:space="0"/>
            </w:tcBorders>
            <w:tcW w:w="99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重点难点分析及应对措施</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420"/>
              <w:rPr>
                <w:rFonts w:ascii="宋体" w:hAnsi="宋体"/>
                <w:color w:val="auto"/>
                <w:szCs w:val="21"/>
                <w:highlight w:val="none"/>
              </w:rPr>
            </w:pPr>
            <w:r>
              <w:rPr>
                <w:rFonts w:hint="eastAsia" w:ascii="宋体" w:hAnsi="宋体"/>
                <w:color w:val="auto"/>
                <w:szCs w:val="21"/>
                <w:highlight w:val="none"/>
              </w:rPr>
              <w:t xml:space="preserve">针对本项目可能存在的问题进行重点难点分析，提出解决方案或合理化建议。分析合理、措施得当的，得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分；分析比较合理、措施比较得当的，得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分；分析一般、措施一般的，得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分；未提供得0分。</w:t>
            </w:r>
            <w:r/>
          </w:p>
        </w:tc>
      </w:tr>
    </w:tbl>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备注：1.供应商的最终得分为所有评委打分的平均值，计算结果保留至小数点后两位。</w:t>
      </w:r>
      <w:r/>
    </w:p>
    <w:p>
      <w:pPr>
        <w:ind w:firstLine="480"/>
        <w:spacing w:line="480" w:lineRule="exact"/>
        <w:rPr>
          <w:color w:val="auto"/>
          <w:highlight w:val="none"/>
        </w:rPr>
      </w:pPr>
      <w:r>
        <w:rPr>
          <w:rFonts w:hint="eastAsia" w:ascii="宋体" w:hAnsi="宋体"/>
          <w:color w:val="auto"/>
          <w:sz w:val="24"/>
          <w:highlight w:val="none"/>
        </w:rPr>
        <w:t xml:space="preserve">2.供应商必须保证全部投标资料的真实性，如有虚假或对招标文件所要求说明的情况故意隐瞒或虚报，视为不实质性响应文件，为无效投标，已成交的将取消成交资格，按“提供虚假材料谋取成交、成交”相关处理办法处理。</w:t>
      </w:r>
      <w:r>
        <w:rPr>
          <w:color w:val="auto"/>
          <w:highlight w:val="none"/>
        </w:rPr>
        <w:t xml:space="preserve"> </w:t>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p>
    <w:p>
      <w:pPr>
        <w:ind w:firstLine="420"/>
        <w:spacing w:line="480" w:lineRule="exact"/>
        <w:rPr>
          <w:color w:val="auto"/>
          <w:highlight w:val="none"/>
        </w:rPr>
      </w:pPr>
      <w:r>
        <w:rPr>
          <w:color w:val="auto"/>
          <w:highlight w:val="none"/>
        </w:rPr>
      </w:r>
      <w:r>
        <w:rPr>
          <w:color w:val="auto"/>
          <w:highlight w:val="none"/>
        </w:rPr>
      </w:r>
      <w:r/>
    </w:p>
    <w:p>
      <w:pPr>
        <w:ind w:firstLine="420"/>
        <w:spacing w:line="480" w:lineRule="exact"/>
        <w:rPr>
          <w:color w:val="auto"/>
          <w:highlight w:val="none"/>
        </w:rPr>
      </w:pPr>
      <w:r>
        <w:rPr>
          <w:color w:val="auto"/>
          <w:highlight w:val="none"/>
        </w:rPr>
      </w:r>
      <w:r/>
    </w:p>
    <w:p>
      <w:pPr>
        <w:pStyle w:val="864"/>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 </w:t>
      </w:r>
      <w:r/>
    </w:p>
    <w:p>
      <w:pPr>
        <w:pStyle w:val="864"/>
        <w:jc w:val="center"/>
        <w:spacing w:beforeAutospacing="0" w:afterAutospacing="0"/>
        <w:rPr>
          <w:rFonts w:ascii="宋体" w:hAnsi="宋体" w:eastAsia="宋体" w:cs="宋体"/>
          <w:b/>
          <w:color w:val="auto"/>
          <w:sz w:val="72"/>
          <w:szCs w:val="72"/>
          <w:highlight w:val="none"/>
        </w:rPr>
      </w:pPr>
      <w:r/>
      <w:bookmarkStart w:id="165" w:name="_Toc120614282"/>
      <w:r/>
      <w:bookmarkEnd w:id="165"/>
      <w:r/>
      <w:bookmarkStart w:id="166" w:name="_Toc49090576"/>
      <w:r/>
      <w:bookmarkEnd w:id="166"/>
      <w:r/>
      <w:bookmarkStart w:id="167" w:name="_Toc26554094"/>
      <w:r/>
      <w:bookmarkStart w:id="168" w:name="_Hlt26955039"/>
      <w:r/>
      <w:bookmarkStart w:id="169" w:name="_Hlt26671244"/>
      <w:r/>
      <w:r/>
    </w:p>
    <w:p>
      <w:pPr>
        <w:pStyle w:val="864"/>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86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6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64"/>
        <w:jc w:val="both"/>
        <w:spacing w:beforeAutospacing="0" w:afterAutospacing="0"/>
        <w:rPr>
          <w:rFonts w:eastAsia="宋体"/>
          <w:color w:val="auto"/>
          <w:highlight w:val="none"/>
        </w:rPr>
      </w:pPr>
      <w:r>
        <w:rPr>
          <w:rFonts w:hint="eastAsia" w:ascii="宋体" w:hAnsi="宋体" w:eastAsia="宋体" w:cs="宋体"/>
          <w:b/>
          <w:color w:val="auto"/>
          <w:sz w:val="36"/>
          <w:szCs w:val="36"/>
          <w:highlight w:val="none"/>
        </w:rPr>
        <w:t xml:space="preserve">      供应商名称：</w:t>
      </w:r>
      <w:r>
        <w:rPr>
          <w:rFonts w:hint="eastAsia" w:ascii="宋体" w:hAnsi="宋体" w:eastAsia="宋体" w:cs="宋体"/>
          <w:b/>
          <w:color w:val="auto"/>
          <w:sz w:val="36"/>
          <w:szCs w:val="36"/>
          <w:highlight w:val="none"/>
          <w:u w:val="single"/>
        </w:rPr>
        <w:t xml:space="preserve">（加盖CA电子公章）   </w:t>
      </w:r>
      <w:r/>
    </w:p>
    <w:p>
      <w:pPr>
        <w:pStyle w:val="86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4"/>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64"/>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left="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二、上一年度或上上年度的财务状况报表（至少提供资产负债表、利润表、现金流量表，磋商供应商成立不满一年无需提供）</w:t>
      </w:r>
      <w:r/>
    </w:p>
    <w:p>
      <w:pPr>
        <w:pStyle w:val="864"/>
        <w:ind w:left="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五、参加政府采购活动前3年内在经营活动中没有重大违法记录的书面声明</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六、供应商法定代表人身份证明和响应文件签署授权委托书（另附法定代表人和被授权人的身份证复印件）</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七、供应商为被授权人缴纳的社会养老保险证明</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八、资质证书</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九、磋商响应函</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十、小微企业声明函</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十一、残疾人福利性单位声明函</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十二、报价表</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iCs/>
          <w:color w:val="auto"/>
          <w:highlight w:val="none"/>
        </w:rPr>
      </w:pPr>
      <w:r>
        <w:rPr>
          <w:rFonts w:hint="eastAsia" w:ascii="宋体" w:hAnsi="宋体" w:eastAsia="宋体" w:cs="宋体"/>
          <w:iCs/>
          <w:color w:val="auto"/>
          <w:highlight w:val="none"/>
        </w:rPr>
        <w:t xml:space="preserve">十三、盐城市政府采购事前信用承诺书</w:t>
      </w:r>
      <w:r/>
    </w:p>
    <w:p>
      <w:pPr>
        <w:pStyle w:val="864"/>
        <w:ind w:firstLine="480"/>
        <w:jc w:val="both"/>
        <w:keepLines w:val="0"/>
        <w:keepNext w:val="0"/>
        <w:pageBreakBefore w:val="0"/>
        <w:spacing w:beforeAutospacing="0" w:afterAutospacing="0" w:line="540" w:lineRule="exact"/>
        <w:widowControl w:val="off"/>
        <w:rPr>
          <w:rFonts w:ascii="宋体" w:hAnsi="宋体" w:eastAsia="宋体" w:cs="宋体"/>
          <w:color w:val="auto"/>
          <w:highlight w:val="none"/>
        </w:rPr>
      </w:pPr>
      <w:r>
        <w:rPr>
          <w:rFonts w:hint="eastAsia" w:ascii="宋体" w:hAnsi="宋体" w:eastAsia="宋体" w:cs="宋体"/>
          <w:iCs/>
          <w:color w:val="auto"/>
          <w:highlight w:val="none"/>
        </w:rPr>
        <w:t xml:space="preserve">十四、与评审有关的其他资料</w:t>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pStyle w:val="864"/>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sz w:val="32"/>
          <w:szCs w:val="32"/>
          <w:highlight w:val="none"/>
          <w:u w:val="single"/>
        </w:rPr>
        <w:t xml:space="preserve">二、上一年度或上上年度的财务状况报表</w:t>
      </w:r>
      <w:r/>
    </w:p>
    <w:p>
      <w:pPr>
        <w:pStyle w:val="864"/>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供应商成立不满一年无需提供</w:t>
      </w:r>
      <w:r/>
    </w:p>
    <w:p>
      <w:pPr>
        <w:pStyle w:val="86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sz w:val="32"/>
          <w:szCs w:val="32"/>
          <w:highlight w:val="none"/>
          <w:u w:val="single"/>
        </w:rPr>
        <w:t xml:space="preserve">三、具备履行合同所必需的设备和专业技术能力的书面声明</w:t>
      </w:r>
      <w:r/>
    </w:p>
    <w:p>
      <w:pPr>
        <w:pStyle w:val="864"/>
        <w:ind w:firstLine="49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864"/>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sz w:val="32"/>
          <w:szCs w:val="32"/>
          <w:highlight w:val="none"/>
          <w:u w:val="single"/>
        </w:rPr>
        <w:t xml:space="preserve">四、依法缴纳税收和社会保障资金的相关材料</w:t>
      </w:r>
      <w:r/>
    </w:p>
    <w:p>
      <w:pPr>
        <w:pStyle w:val="864"/>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6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spacing w:beforeAutospacing="0" w:afterAutospacing="0"/>
        <w:rPr>
          <w:rFonts w:ascii="宋体" w:hAnsi="宋体" w:eastAsia="宋体" w:cs="宋体"/>
          <w:color w:val="auto"/>
          <w:highlight w:val="non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pStyle w:val="864"/>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86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4"/>
        <w:jc w:val="both"/>
        <w:spacing w:beforeAutospacing="0" w:afterAutospacing="0" w:line="0" w:lineRule="atLeast"/>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t xml:space="preserve"> </w:t>
      </w:r>
      <w:r/>
    </w:p>
    <w:p>
      <w:pPr>
        <w:pStyle w:val="864"/>
        <w:jc w:val="center"/>
        <w:spacing w:beforeAutospacing="0" w:afterAutospacing="0"/>
        <w:rPr>
          <w:rFonts w:ascii="黑体" w:hAnsi="宋体" w:eastAsia="黑体" w:cs="黑体"/>
          <w:i/>
          <w:color w:val="auto"/>
          <w:sz w:val="32"/>
          <w:szCs w:val="32"/>
          <w:highlight w:val="none"/>
          <w:u w:val="single"/>
        </w:rPr>
      </w:pPr>
      <w:r/>
      <w:bookmarkStart w:id="170" w:name="_Toc120614284"/>
      <w:r/>
      <w:r/>
    </w:p>
    <w:p>
      <w:pPr>
        <w:pStyle w:val="864"/>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r/>
    </w:p>
    <w:p>
      <w:pPr>
        <w:pStyle w:val="864"/>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4"/>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4"/>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4"/>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4"/>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4"/>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both"/>
        <w:spacing w:beforeAutospacing="0" w:afterAutospacing="0"/>
        <w:rPr>
          <w:color w:val="auto"/>
          <w:highlight w:val="none"/>
        </w:rPr>
      </w:pPr>
      <w:r/>
      <w:bookmarkStart w:id="171" w:name="_Hlt26955070"/>
      <w:r/>
      <w:bookmarkStart w:id="172" w:name="_Hlt26671380"/>
      <w:r/>
      <w:bookmarkStart w:id="173" w:name="_格式3__银行出具的资信证明"/>
      <w:r>
        <w:rPr>
          <w:rFonts w:hint="eastAsia" w:ascii="黑体" w:hAnsi="宋体" w:eastAsia="黑体" w:cs="黑体"/>
          <w:i/>
          <w:color w:val="auto"/>
          <w:sz w:val="32"/>
          <w:szCs w:val="32"/>
          <w:highlight w:val="none"/>
          <w:u w:val="single"/>
        </w:rPr>
        <w:t xml:space="preserve">六、供应商法定代表人身份证明和响应文件签署授权委托书（另附法定代表人和被授权人的身份证复印件）</w:t>
      </w:r>
      <w:r/>
    </w:p>
    <w:p>
      <w:pPr>
        <w:jc w:val="center"/>
        <w:spacing w:line="600" w:lineRule="exact"/>
        <w:rPr>
          <w:rFonts w:ascii="黑体" w:eastAsia="黑体"/>
          <w:b/>
          <w:bCs/>
          <w:color w:val="auto"/>
          <w:sz w:val="32"/>
          <w:szCs w:val="32"/>
          <w:highlight w:val="none"/>
        </w:rPr>
        <w:outlineLvl w:val="1"/>
      </w:pPr>
      <w:r>
        <w:rPr>
          <w:rFonts w:hint="eastAsia" w:ascii="黑体" w:hAnsi="Calibri" w:eastAsia="黑体"/>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：（采购人名称）</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（法定代表人姓名） </w:t>
      </w:r>
      <w:r>
        <w:rPr>
          <w:rFonts w:hint="eastAsia" w:ascii="仿宋_GB2312" w:eastAsia="仿宋_GB2312"/>
          <w:color w:val="auto"/>
          <w:sz w:val="24"/>
          <w:highlight w:val="none"/>
        </w:rPr>
        <w:t xml:space="preserve">在</w:t>
      </w:r>
      <w:r>
        <w:rPr>
          <w:rFonts w:hint="eastAsia" w:ascii="仿宋_GB2312" w:eastAsia="仿宋_GB2312"/>
          <w:color w:val="auto"/>
          <w:sz w:val="24"/>
          <w:highlight w:val="none"/>
          <w:u w:val="single"/>
        </w:rPr>
        <w:t xml:space="preserve">     （供应商名称）     </w:t>
      </w:r>
      <w:r>
        <w:rPr>
          <w:rFonts w:hint="eastAsia" w:ascii="仿宋_GB2312" w:eastAsia="仿宋_GB2312"/>
          <w:color w:val="auto"/>
          <w:sz w:val="24"/>
          <w:highlight w:val="none"/>
        </w:rPr>
        <w:t xml:space="preserve"> 任</w:t>
      </w:r>
      <w:r>
        <w:rPr>
          <w:rFonts w:hint="eastAsia" w:ascii="仿宋_GB2312" w:eastAsia="仿宋_GB2312"/>
          <w:color w:val="auto"/>
          <w:sz w:val="24"/>
          <w:highlight w:val="none"/>
          <w:u w:val="single"/>
        </w:rPr>
        <w:t xml:space="preserve">（职务名称）</w:t>
      </w:r>
      <w:r>
        <w:rPr>
          <w:rFonts w:hint="eastAsia" w:ascii="仿宋_GB2312" w:eastAsia="仿宋_GB2312"/>
          <w:color w:val="auto"/>
          <w:sz w:val="24"/>
          <w:highlight w:val="none"/>
        </w:rPr>
        <w:t xml:space="preserve">职务，是</w:t>
      </w:r>
      <w:r>
        <w:rPr>
          <w:rFonts w:hint="eastAsia" w:ascii="仿宋_GB2312" w:eastAsia="仿宋_GB2312"/>
          <w:color w:val="auto"/>
          <w:sz w:val="24"/>
          <w:highlight w:val="none"/>
          <w:u w:val="single"/>
        </w:rPr>
        <w:t xml:space="preserve">        （供应商名称）      </w:t>
      </w:r>
      <w:r>
        <w:rPr>
          <w:rFonts w:hint="eastAsia" w:ascii="仿宋_GB2312" w:eastAsia="仿宋_GB2312"/>
          <w:color w:val="auto"/>
          <w:sz w:val="24"/>
          <w:highlight w:val="none"/>
        </w:rPr>
        <w:t xml:space="preserve">的法定代表人，联系电话（手机号码）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特此证明。</w:t>
      </w:r>
      <w:r/>
    </w:p>
    <w:p>
      <w:pPr>
        <w:ind w:firstLine="45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供应商（盖单位公章）      </w:t>
      </w:r>
      <w:r/>
    </w:p>
    <w:p>
      <w:pPr>
        <w:ind w:firstLine="120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 </w:t>
      </w:r>
      <w:r/>
    </w:p>
    <w:p>
      <w:pPr>
        <w:jc w:val="left"/>
        <w:spacing w:line="600" w:lineRule="exact"/>
        <w:rPr>
          <w:rFonts w:ascii="仿宋_GB2312" w:eastAsia="仿宋_GB2312"/>
          <w:b/>
          <w:bCs/>
          <w:color w:val="auto"/>
          <w:sz w:val="24"/>
          <w:highlight w:val="none"/>
        </w:rPr>
      </w:pPr>
      <w:r>
        <w:rPr>
          <w:rFonts w:ascii="仿宋_GB2312" w:eastAsia="仿宋_GB2312"/>
          <w:b/>
          <w:bCs/>
          <w:color w:val="auto"/>
          <w:sz w:val="24"/>
          <w:highlight w:val="none"/>
        </w:rPr>
      </w:r>
      <w:r/>
    </w:p>
    <w:p>
      <w:pPr>
        <w:jc w:val="left"/>
        <w:spacing w:line="6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ascii="黑体" w:eastAsia="黑体"/>
          <w:color w:val="auto"/>
          <w:sz w:val="28"/>
          <w:highlight w:val="none"/>
        </w:rPr>
      </w:pPr>
      <w:r>
        <w:rPr>
          <w:rFonts w:ascii="仿宋_GB2312" w:eastAsia="仿宋_GB2312"/>
          <w:color w:val="auto"/>
          <w:sz w:val="24"/>
          <w:highlight w:val="none"/>
        </w:rPr>
        <w:br w:type="page" w:clear="all"/>
      </w:r>
      <w:r>
        <w:rPr>
          <w:rFonts w:hint="eastAsia" w:ascii="黑体" w:hAnsi="Calibri" w:eastAsia="黑体"/>
          <w:b/>
          <w:bCs/>
          <w:color w:val="auto"/>
          <w:sz w:val="32"/>
          <w:szCs w:val="32"/>
          <w:highlight w:val="none"/>
        </w:rPr>
        <w:t xml:space="preserve">响应文件</w:t>
      </w:r>
      <w:r>
        <w:rPr>
          <w:rFonts w:hint="eastAsia" w:ascii="黑体" w:eastAsia="黑体"/>
          <w:b/>
          <w:bCs/>
          <w:color w:val="auto"/>
          <w:sz w:val="32"/>
          <w:szCs w:val="32"/>
          <w:highlight w:val="none"/>
        </w:rPr>
        <w:t xml:space="preserve">签署授权委托书</w:t>
      </w:r>
      <w:r/>
    </w:p>
    <w:p>
      <w:pPr>
        <w:jc w:val="center"/>
        <w:spacing w:line="400" w:lineRule="exact"/>
        <w:rPr>
          <w:rFonts w:ascii="黑体" w:eastAsia="黑体"/>
          <w:b/>
          <w:color w:val="auto"/>
          <w:sz w:val="28"/>
          <w:highlight w:val="none"/>
        </w:rPr>
      </w:pPr>
      <w:r>
        <w:rPr>
          <w:rFonts w:ascii="黑体" w:eastAsia="黑体"/>
          <w:b/>
          <w:color w:val="auto"/>
          <w:sz w:val="28"/>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本授权委托书声明：我</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系</w:t>
      </w:r>
      <w:r>
        <w:rPr>
          <w:rFonts w:hint="eastAsia" w:ascii="仿宋_GB2312" w:eastAsia="仿宋_GB2312"/>
          <w:color w:val="auto"/>
          <w:sz w:val="24"/>
          <w:highlight w:val="none"/>
          <w:u w:val="single"/>
        </w:rPr>
        <w:t xml:space="preserve">      （供应商名称）        </w:t>
      </w:r>
      <w:r>
        <w:rPr>
          <w:rFonts w:hint="eastAsia" w:ascii="仿宋_GB2312" w:eastAsia="仿宋_GB2312"/>
          <w:color w:val="auto"/>
          <w:sz w:val="24"/>
          <w:highlight w:val="none"/>
        </w:rPr>
        <w:t xml:space="preserve"> 的法定代表人，现授权</w:t>
      </w:r>
      <w:r>
        <w:rPr>
          <w:rFonts w:hint="eastAsia" w:ascii="仿宋_GB2312" w:eastAsia="仿宋_GB2312"/>
          <w:color w:val="auto"/>
          <w:sz w:val="24"/>
          <w:highlight w:val="none"/>
          <w:u w:val="single"/>
        </w:rPr>
        <w:t xml:space="preserve">         （供应商名称</w:t>
      </w:r>
      <w:r>
        <w:rPr>
          <w:rFonts w:hint="eastAsia" w:ascii="仿宋_GB2312" w:eastAsia="仿宋_GB2312"/>
          <w:color w:val="auto"/>
          <w:sz w:val="24"/>
          <w:highlight w:val="none"/>
          <w:u w:val="single"/>
          <w:lang w:eastAsia="zh-CN"/>
        </w:rPr>
        <w:t xml:space="preserve">）</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为我公司签署本项目的响应文件的法定代表人授权委托代理人，我承认被授权人全权代表我所签署的本项目的响应文件的内容。</w:t>
      </w:r>
      <w:r/>
    </w:p>
    <w:p>
      <w:pPr>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特此委托。</w:t>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hAnsi="Calibri" w:eastAsia="仿宋_GB2312"/>
          <w:color w:val="auto"/>
          <w:sz w:val="24"/>
          <w:highlight w:val="none"/>
        </w:rPr>
        <w:t xml:space="preserve">代理人（</w:t>
      </w:r>
      <w:r>
        <w:rPr>
          <w:rFonts w:hint="eastAsia" w:ascii="仿宋_GB2312" w:eastAsia="仿宋_GB2312"/>
          <w:color w:val="auto"/>
          <w:sz w:val="24"/>
          <w:highlight w:val="none"/>
        </w:rPr>
        <w:t xml:space="preserve">被授权人</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联系电话：</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身份证号码：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职务：</w:t>
      </w:r>
      <w:r>
        <w:rPr>
          <w:rFonts w:hint="eastAsia" w:ascii="仿宋_GB2312" w:eastAsia="仿宋_GB2312"/>
          <w:color w:val="auto"/>
          <w:sz w:val="24"/>
          <w:highlight w:val="none"/>
          <w:u w:val="single"/>
        </w:rPr>
        <w:t xml:space="preserve">        </w:t>
      </w:r>
      <w:r/>
    </w:p>
    <w:p>
      <w:pPr>
        <w:pStyle w:val="866"/>
        <w:rPr>
          <w:color w:val="auto"/>
          <w:highlight w:val="none"/>
        </w:rPr>
      </w:pPr>
      <w:r>
        <w:rPr>
          <w:color w:val="auto"/>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szCs w:val="22"/>
          <w:highlight w:val="none"/>
        </w:rPr>
        <w:t xml:space="preserve">联系号码（手机号码）；</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供应商：</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（盖单位公章）</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授权委托日期：</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left"/>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（附：被授权人身份证正反面复印件）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866"/>
        <w:rPr>
          <w:color w:val="auto"/>
          <w:highlight w:val="none"/>
        </w:rPr>
      </w:pPr>
      <w:r>
        <w:rPr>
          <w:color w:val="auto"/>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864"/>
        <w:jc w:val="both"/>
        <w:spacing w:beforeAutospacing="0" w:afterAutospacing="0" w:line="0" w:lineRule="atLeast"/>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both"/>
        <w:spacing w:beforeAutospacing="0" w:afterAutospacing="0" w:line="0" w:lineRule="atLeast"/>
        <w:rPr>
          <w:color w:val="auto"/>
          <w:highlight w:val="none"/>
        </w:rPr>
      </w:pPr>
      <w:r>
        <w:rPr>
          <w:rFonts w:hint="eastAsia" w:ascii="宋体" w:hAnsi="宋体" w:eastAsia="宋体" w:cs="宋体"/>
          <w:b/>
          <w:iCs/>
          <w:color w:val="auto"/>
          <w:sz w:val="32"/>
          <w:szCs w:val="32"/>
          <w:highlight w:val="none"/>
          <w:u w:val="single"/>
        </w:rPr>
        <w:t xml:space="preserve">七、供应商为被授权人缴纳的社会养老保险证明</w:t>
      </w:r>
      <w:r>
        <w:rPr>
          <w:color w:val="auto"/>
          <w:highlight w:val="none"/>
        </w:rPr>
        <w:t xml:space="preserve"> </w:t>
      </w:r>
      <w:r/>
    </w:p>
    <w:p>
      <w:pPr>
        <w:pStyle w:val="864"/>
        <w:jc w:val="both"/>
        <w:spacing w:beforeAutospacing="0" w:afterAutospacing="0" w:line="0" w:lineRule="atLeast"/>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both"/>
        <w:spacing w:beforeAutospacing="0" w:afterAutospacing="0" w:line="0" w:lineRule="atLeast"/>
        <w:rPr>
          <w:rFonts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t xml:space="preserve">八、资质证书</w:t>
      </w:r>
      <w:r>
        <w:rPr>
          <w:rFonts w:hint="eastAsia" w:ascii="宋体" w:hAnsi="宋体" w:eastAsia="宋体" w:cs="宋体"/>
          <w:b/>
          <w:iCs/>
          <w:color w:val="auto"/>
          <w:sz w:val="32"/>
          <w:szCs w:val="32"/>
          <w:highlight w:val="none"/>
          <w:u w:val="single"/>
        </w:rPr>
        <w:br w:type="page" w:clear="all"/>
      </w:r>
      <w:r/>
    </w:p>
    <w:p>
      <w:pPr>
        <w:pStyle w:val="864"/>
        <w:jc w:val="center"/>
        <w:keepLines/>
        <w:keepNext/>
        <w:spacing w:before="260" w:beforeAutospacing="0" w:after="260" w:afterAutospacing="0" w:line="415" w:lineRule="auto"/>
        <w:rPr>
          <w:rFonts w:ascii="宋体" w:hAnsi="宋体" w:eastAsia="宋体" w:cs="宋体"/>
          <w:iCs/>
          <w:color w:val="auto"/>
          <w:highlight w:val="none"/>
        </w:rPr>
      </w:pPr>
      <w:r>
        <w:rPr>
          <w:rFonts w:hint="eastAsia" w:ascii="宋体" w:hAnsi="宋体" w:eastAsia="宋体" w:cs="宋体"/>
          <w:b/>
          <w:iCs/>
          <w:color w:val="auto"/>
          <w:sz w:val="32"/>
          <w:szCs w:val="32"/>
          <w:highlight w:val="none"/>
          <w:u w:val="single"/>
        </w:rPr>
        <w:t xml:space="preserve">九、磋商响应函</w:t>
      </w:r>
      <w:r/>
    </w:p>
    <w:p>
      <w:pPr>
        <w:pStyle w:val="864"/>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    </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根据贵方编号为</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的磋商文件，正式授权下述签字人______（姓名）代表我方______________（供应商的名称），全权处理本次项目磋商的有关事宜。</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1.按照磋商文件规定的各项要求，向买方提供所需服务（包含与货物相关的服务及与服务相关的货物）。</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64"/>
        <w:ind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864"/>
        <w:ind w:left="425"/>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7.我方与本磋商有关的正式通讯地址为：</w:t>
      </w:r>
      <w:r/>
    </w:p>
    <w:p>
      <w:pPr>
        <w:pStyle w:val="864"/>
        <w:ind w:left="420"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64"/>
        <w:ind w:left="420"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64"/>
        <w:ind w:left="420"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64"/>
        <w:ind w:left="420"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64"/>
        <w:ind w:left="420"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864"/>
        <w:ind w:left="420"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864"/>
        <w:ind w:left="420" w:firstLine="48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64"/>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4"/>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4"/>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十、小微企业声明函（服务）（分包号：**）</w:t>
      </w:r>
      <w:r/>
    </w:p>
    <w:p>
      <w:pPr>
        <w:pStyle w:val="864"/>
        <w:ind w:firstLine="36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4"/>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本公司（联合体）郑重声明，根据《政府采购促进中小企业发展管理办法》（财库〔2020〕46号）的规定，本公司（联合体）参加采购人组织的采购编号为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4"/>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864"/>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864"/>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4"/>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64"/>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864"/>
        <w:ind w:right="72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right="180" w:firstLine="360"/>
        <w:jc w:val="righ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64"/>
        <w:ind w:right="480" w:firstLine="540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64"/>
        <w:ind w:firstLine="24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4"/>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864"/>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十一、残疾人福利性单位声明函（分包号：**）</w:t>
      </w:r>
      <w:r/>
    </w:p>
    <w:p>
      <w:pPr>
        <w:pStyle w:val="864"/>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64"/>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4"/>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（备注：1、供应商如不提供此声明函，价格将不做相应扣除。2、成交供应商为残疾人福利单位的，此声明函将随成交结果同时公告，接受社会监督）</w:t>
      </w:r>
      <w:r/>
    </w:p>
    <w:p>
      <w:pPr>
        <w:pStyle w:val="864"/>
        <w:ind w:firstLine="624"/>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right="1560" w:firstLine="624"/>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color w:val="auto"/>
          <w:sz w:val="32"/>
          <w:szCs w:val="32"/>
          <w:highlight w:val="none"/>
        </w:rPr>
      </w: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bCs/>
          <w:color w:val="auto"/>
          <w:sz w:val="32"/>
          <w:szCs w:val="32"/>
          <w:highlight w:val="none"/>
        </w:rPr>
      </w:r>
      <w:r>
        <w:rPr>
          <w:rFonts w:ascii="黑体" w:hAnsi="宋体" w:eastAsia="黑体" w:cs="黑体"/>
          <w:b/>
          <w:bCs/>
          <w:color w:val="auto"/>
          <w:sz w:val="32"/>
          <w:szCs w:val="32"/>
          <w:highlight w:val="none"/>
        </w:rPr>
      </w:r>
      <w:r/>
    </w:p>
    <w:p>
      <w:pPr>
        <w:pStyle w:val="86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bCs/>
          <w:color w:val="auto"/>
          <w:sz w:val="32"/>
          <w:szCs w:val="32"/>
          <w:highlight w:val="none"/>
        </w:rPr>
      </w:r>
      <w:r>
        <w:rPr>
          <w:rFonts w:ascii="黑体" w:hAnsi="宋体" w:eastAsia="黑体" w:cs="黑体"/>
          <w:b/>
          <w:bCs/>
          <w:color w:val="auto"/>
          <w:sz w:val="32"/>
          <w:szCs w:val="32"/>
          <w:highlight w:val="none"/>
        </w:rPr>
      </w:r>
      <w:r/>
    </w:p>
    <w:p>
      <w:pPr>
        <w:pStyle w:val="86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bCs/>
          <w:color w:val="auto"/>
          <w:sz w:val="32"/>
          <w:szCs w:val="32"/>
          <w:highlight w:val="none"/>
        </w:rPr>
      </w:r>
      <w:r>
        <w:rPr>
          <w:rFonts w:ascii="黑体" w:hAnsi="宋体" w:eastAsia="黑体" w:cs="黑体"/>
          <w:b/>
          <w:bCs/>
          <w:color w:val="auto"/>
          <w:sz w:val="32"/>
          <w:szCs w:val="32"/>
          <w:highlight w:val="none"/>
        </w:rPr>
      </w:r>
      <w:r/>
    </w:p>
    <w:p>
      <w:pPr>
        <w:pStyle w:val="86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bCs/>
          <w:color w:val="auto"/>
          <w:sz w:val="32"/>
          <w:szCs w:val="32"/>
          <w:highlight w:val="none"/>
        </w:rPr>
      </w:r>
      <w:r>
        <w:rPr>
          <w:rFonts w:ascii="黑体" w:hAnsi="宋体" w:eastAsia="黑体" w:cs="黑体"/>
          <w:b/>
          <w:bCs/>
          <w:color w:val="auto"/>
          <w:sz w:val="32"/>
          <w:szCs w:val="32"/>
          <w:highlight w:val="none"/>
        </w:rPr>
      </w:r>
      <w:r/>
    </w:p>
    <w:p>
      <w:pPr>
        <w:pStyle w:val="86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4"/>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十二、报价表（服务类）</w:t>
      </w:r>
      <w:r/>
    </w:p>
    <w:tbl>
      <w:tblPr>
        <w:tblStyle w:val="854"/>
        <w:tblW w:w="8475" w:type="dxa"/>
        <w:tblInd w:w="0" w:type="dxa"/>
        <w:tblLayout w:type="fixed"/>
        <w:tblCellMar>
          <w:left w:w="0" w:type="dxa"/>
          <w:top w:w="0" w:type="dxa"/>
          <w:right w:w="0" w:type="dxa"/>
          <w:bottom w:w="0" w:type="dxa"/>
        </w:tblCellMar>
        <w:tblLook w:val="04A0" w:firstRow="1" w:lastRow="0" w:firstColumn="1" w:lastColumn="0" w:noHBand="0" w:noVBand="1"/>
      </w:tblPr>
      <w:tblGrid>
        <w:gridCol w:w="1666"/>
        <w:gridCol w:w="6809"/>
      </w:tblGrid>
      <w:tr>
        <w:trPr>
          <w:trHeight w:val="597"/>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75"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r>
      <w:tr>
        <w:trPr>
          <w:trHeight w:val="57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75"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东台市低效用地再开发试点工作项目</w:t>
            </w:r>
            <w:r/>
          </w:p>
        </w:tc>
      </w:tr>
      <w:tr>
        <w:trPr>
          <w:cantSplit/>
          <w:trHeight w:val="53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6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0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bl>
    <w:p>
      <w:pPr>
        <w:pStyle w:val="864"/>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注：报价中（但不限于）人工、食宿费、差旅费、安全措施费、数据整理、成果出具、纸张等耗材、后续服务、税金、合理利润等所有费用。</w:t>
      </w:r>
      <w:r/>
    </w:p>
    <w:p>
      <w:pPr>
        <w:pStyle w:val="864"/>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ind w:firstLine="28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336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供应商（盖单位公章）：</w:t>
      </w:r>
      <w:r/>
    </w:p>
    <w:p>
      <w:pPr>
        <w:pStyle w:val="864"/>
        <w:ind w:firstLine="5342"/>
        <w:jc w:val="both"/>
        <w:spacing w:beforeAutospacing="0" w:afterAutospacing="0" w:line="600" w:lineRule="exact"/>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日</w:t>
      </w:r>
      <w:r>
        <w:rPr>
          <w:rFonts w:hint="eastAsia" w:ascii="宋体" w:hAnsi="宋体" w:eastAsia="宋体" w:cs="宋体"/>
          <w:color w:val="auto"/>
          <w:highlight w:val="none"/>
        </w:rPr>
        <w:t xml:space="preserve"> </w:t>
      </w:r>
      <w:r/>
    </w:p>
    <w:p>
      <w:pPr>
        <w:pStyle w:val="864"/>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ascii="黑体" w:hAnsi="宋体" w:eastAsia="黑体" w:cs="黑体"/>
          <w:b/>
          <w:color w:val="auto"/>
          <w:sz w:val="32"/>
          <w:szCs w:val="32"/>
          <w:highlight w:val="none"/>
        </w:rPr>
      </w:pPr>
      <w:r/>
      <w:bookmarkStart w:id="174" w:name="_Hlt26671374"/>
      <w:r/>
      <w:bookmarkStart w:id="175" w:name="_Hlt26955054"/>
      <w:r/>
      <w:bookmarkStart w:id="176" w:name="_Hlt26955066"/>
      <w:r/>
      <w:bookmarkStart w:id="177" w:name="_Toc462564146"/>
      <w:r/>
      <w:bookmarkStart w:id="178" w:name="_Hlt26609389"/>
      <w:r/>
      <w:bookmarkStart w:id="179" w:name="_格式2__法定代表人授权书"/>
      <w:r>
        <w:rPr>
          <w:rFonts w:hint="eastAsia" w:ascii="黑体" w:hAnsi="宋体" w:eastAsia="黑体" w:cs="黑体"/>
          <w:b/>
          <w:color w:val="auto"/>
          <w:sz w:val="32"/>
          <w:szCs w:val="32"/>
          <w:highlight w:val="none"/>
        </w:rPr>
        <w:t xml:space="preserve">十三、盐城市政府采购事前信用承诺书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为营造我市公开、公平、公正、诚实守信的政府采购交易环境，树立诚信守法的供应商形象，本人代表本单位作出以下承诺：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成交、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（八）本人已认真阅读了上述承诺，并向本单位员工做了宣传教育。</w:t>
      </w:r>
      <w:r/>
    </w:p>
    <w:p>
      <w:pPr>
        <w:jc w:val="left"/>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64"/>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864"/>
        <w:jc w:val="center"/>
        <w:spacing w:beforeAutospacing="0" w:afterAutospacing="0"/>
        <w:rPr>
          <w:rFonts w:ascii="宋体" w:hAnsi="宋体" w:eastAsia="宋体" w:cs="宋体"/>
          <w:b/>
          <w:bCs/>
          <w:color w:val="auto"/>
          <w:sz w:val="32"/>
          <w:szCs w:val="32"/>
          <w:highlight w:val="none"/>
        </w:rPr>
      </w:pPr>
      <w:r>
        <w:rPr>
          <w:rFonts w:hint="eastAsia" w:ascii="黑体" w:hAnsi="宋体" w:eastAsia="黑体" w:cs="黑体"/>
          <w:b/>
          <w:color w:val="auto"/>
          <w:sz w:val="32"/>
          <w:szCs w:val="32"/>
          <w:highlight w:val="none"/>
        </w:rPr>
        <w:t xml:space="preserve">十四、</w:t>
      </w:r>
      <w:r>
        <w:rPr>
          <w:rFonts w:hint="eastAsia" w:ascii="宋体" w:hAnsi="宋体" w:eastAsia="宋体" w:cs="宋体"/>
          <w:b/>
          <w:bCs/>
          <w:color w:val="auto"/>
          <w:sz w:val="32"/>
          <w:szCs w:val="32"/>
          <w:highlight w:val="none"/>
        </w:rPr>
        <w:t xml:space="preserve">与评审有关的其他资料</w:t>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4"/>
        <w:jc w:val="both"/>
        <w:spacing w:before="290"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4"/>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4"/>
        <w:ind w:firstLine="48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4"/>
        <w:ind w:firstLine="48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4"/>
        <w:ind w:firstLine="48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4"/>
        <w:ind w:firstLine="48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4"/>
        <w:ind w:firstLine="48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4"/>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64"/>
        <w:ind w:firstLine="420"/>
        <w:jc w:val="both"/>
        <w:spacing w:beforeAutospacing="0" w:afterAutospacing="0"/>
        <w:rPr>
          <w:color w:val="auto"/>
          <w:highlight w:val="none"/>
        </w:rPr>
      </w:pPr>
      <w:r>
        <w:rPr>
          <w:color w:val="auto"/>
          <w:highlight w:val="none"/>
        </w:rPr>
        <w:t xml:space="preserve"> </w:t>
      </w:r>
      <w:bookmarkEnd w:id="8"/>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158"/>
      <w:r/>
      <w:bookmarkEnd w:id="159"/>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rPr>
          <w:color w:val="auto"/>
          <w:highlight w:val="none"/>
        </w:rPr>
      </w:pPr>
      <w:r>
        <w:rPr>
          <w:color w:val="auto"/>
          <w:highlight w:val="none"/>
        </w:rPr>
      </w:r>
      <w:bookmarkEnd w:id="180"/>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libri">
    <w:panose1 w:val="020F0502020204030204"/>
  </w:font>
  <w:font w:name="PingFang SC">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宋体">
    <w:panose1 w:val="0201060003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1"/>
    <w:next w:val="851"/>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3"/>
    <w:link w:val="677"/>
    <w:uiPriority w:val="9"/>
    <w:rPr>
      <w:rFonts w:ascii="Arial" w:hAnsi="Arial" w:eastAsia="Arial" w:cs="Arial"/>
      <w:sz w:val="40"/>
      <w:szCs w:val="40"/>
    </w:rPr>
  </w:style>
  <w:style w:type="character" w:styleId="679">
    <w:name w:val="Heading 2 Char"/>
    <w:basedOn w:val="853"/>
    <w:link w:val="852"/>
    <w:uiPriority w:val="9"/>
    <w:rPr>
      <w:rFonts w:ascii="Arial" w:hAnsi="Arial" w:eastAsia="Arial" w:cs="Arial"/>
      <w:sz w:val="34"/>
    </w:rPr>
  </w:style>
  <w:style w:type="paragraph" w:styleId="680">
    <w:name w:val="Heading 3"/>
    <w:basedOn w:val="851"/>
    <w:next w:val="851"/>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3"/>
    <w:link w:val="680"/>
    <w:uiPriority w:val="9"/>
    <w:rPr>
      <w:rFonts w:ascii="Arial" w:hAnsi="Arial" w:eastAsia="Arial" w:cs="Arial"/>
      <w:sz w:val="30"/>
      <w:szCs w:val="30"/>
    </w:rPr>
  </w:style>
  <w:style w:type="paragraph" w:styleId="682">
    <w:name w:val="Heading 4"/>
    <w:basedOn w:val="851"/>
    <w:next w:val="851"/>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3"/>
    <w:link w:val="682"/>
    <w:uiPriority w:val="9"/>
    <w:rPr>
      <w:rFonts w:ascii="Arial" w:hAnsi="Arial" w:eastAsia="Arial" w:cs="Arial"/>
      <w:b/>
      <w:bCs/>
      <w:sz w:val="26"/>
      <w:szCs w:val="26"/>
    </w:rPr>
  </w:style>
  <w:style w:type="paragraph" w:styleId="684">
    <w:name w:val="Heading 5"/>
    <w:basedOn w:val="851"/>
    <w:next w:val="851"/>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3"/>
    <w:link w:val="684"/>
    <w:uiPriority w:val="9"/>
    <w:rPr>
      <w:rFonts w:ascii="Arial" w:hAnsi="Arial" w:eastAsia="Arial" w:cs="Arial"/>
      <w:b/>
      <w:bCs/>
      <w:sz w:val="24"/>
      <w:szCs w:val="24"/>
    </w:rPr>
  </w:style>
  <w:style w:type="paragraph" w:styleId="686">
    <w:name w:val="Heading 6"/>
    <w:basedOn w:val="851"/>
    <w:next w:val="851"/>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3"/>
    <w:link w:val="686"/>
    <w:uiPriority w:val="9"/>
    <w:rPr>
      <w:rFonts w:ascii="Arial" w:hAnsi="Arial" w:eastAsia="Arial" w:cs="Arial"/>
      <w:b/>
      <w:bCs/>
      <w:sz w:val="22"/>
      <w:szCs w:val="22"/>
    </w:rPr>
  </w:style>
  <w:style w:type="paragraph" w:styleId="688">
    <w:name w:val="Heading 7"/>
    <w:basedOn w:val="851"/>
    <w:next w:val="851"/>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3"/>
    <w:link w:val="688"/>
    <w:uiPriority w:val="9"/>
    <w:rPr>
      <w:rFonts w:ascii="Arial" w:hAnsi="Arial" w:eastAsia="Arial" w:cs="Arial"/>
      <w:b/>
      <w:bCs/>
      <w:i/>
      <w:iCs/>
      <w:sz w:val="22"/>
      <w:szCs w:val="22"/>
    </w:rPr>
  </w:style>
  <w:style w:type="paragraph" w:styleId="690">
    <w:name w:val="Heading 8"/>
    <w:basedOn w:val="851"/>
    <w:next w:val="851"/>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3"/>
    <w:link w:val="690"/>
    <w:uiPriority w:val="9"/>
    <w:rPr>
      <w:rFonts w:ascii="Arial" w:hAnsi="Arial" w:eastAsia="Arial" w:cs="Arial"/>
      <w:i/>
      <w:iCs/>
      <w:sz w:val="22"/>
      <w:szCs w:val="22"/>
    </w:rPr>
  </w:style>
  <w:style w:type="paragraph" w:styleId="692">
    <w:name w:val="Heading 9"/>
    <w:basedOn w:val="851"/>
    <w:next w:val="851"/>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3"/>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51"/>
    <w:next w:val="851"/>
    <w:link w:val="696"/>
    <w:uiPriority w:val="10"/>
    <w:qFormat/>
    <w:pPr>
      <w:contextualSpacing/>
      <w:spacing w:before="300" w:after="200"/>
    </w:pPr>
    <w:rPr>
      <w:sz w:val="48"/>
      <w:szCs w:val="48"/>
    </w:rPr>
  </w:style>
  <w:style w:type="character" w:styleId="696">
    <w:name w:val="Title Char"/>
    <w:basedOn w:val="853"/>
    <w:link w:val="695"/>
    <w:uiPriority w:val="10"/>
    <w:rPr>
      <w:sz w:val="48"/>
      <w:szCs w:val="48"/>
    </w:rPr>
  </w:style>
  <w:style w:type="paragraph" w:styleId="697">
    <w:name w:val="Subtitle"/>
    <w:basedOn w:val="851"/>
    <w:next w:val="851"/>
    <w:link w:val="698"/>
    <w:uiPriority w:val="11"/>
    <w:qFormat/>
    <w:pPr>
      <w:spacing w:before="200" w:after="200"/>
    </w:pPr>
    <w:rPr>
      <w:sz w:val="24"/>
      <w:szCs w:val="24"/>
    </w:rPr>
  </w:style>
  <w:style w:type="character" w:styleId="698">
    <w:name w:val="Subtitle Char"/>
    <w:basedOn w:val="853"/>
    <w:link w:val="697"/>
    <w:uiPriority w:val="11"/>
    <w:rPr>
      <w:sz w:val="24"/>
      <w:szCs w:val="24"/>
    </w:rPr>
  </w:style>
  <w:style w:type="paragraph" w:styleId="699">
    <w:name w:val="Quote"/>
    <w:basedOn w:val="851"/>
    <w:next w:val="851"/>
    <w:link w:val="700"/>
    <w:uiPriority w:val="29"/>
    <w:qFormat/>
    <w:pPr>
      <w:ind w:left="720" w:right="720"/>
    </w:pPr>
    <w:rPr>
      <w:i/>
    </w:rPr>
  </w:style>
  <w:style w:type="character" w:styleId="700">
    <w:name w:val="Quote Char"/>
    <w:link w:val="699"/>
    <w:uiPriority w:val="29"/>
    <w:rPr>
      <w:i/>
    </w:rPr>
  </w:style>
  <w:style w:type="paragraph" w:styleId="701">
    <w:name w:val="Intense Quote"/>
    <w:basedOn w:val="851"/>
    <w:next w:val="851"/>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3"/>
    <w:link w:val="863"/>
    <w:uiPriority w:val="99"/>
  </w:style>
  <w:style w:type="character" w:styleId="704">
    <w:name w:val="Footer Char"/>
    <w:basedOn w:val="853"/>
    <w:link w:val="862"/>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862"/>
    <w:uiPriority w:val="99"/>
  </w:style>
  <w:style w:type="table" w:styleId="707">
    <w:name w:val="Table Grid"/>
    <w:basedOn w:val="8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3"/>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3"/>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2">
    <w:name w:val="Heading 2"/>
    <w:basedOn w:val="851"/>
    <w:next w:val="85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Body Text Indent"/>
    <w:basedOn w:val="851"/>
    <w:uiPriority w:val="0"/>
    <w:qFormat/>
    <w:pPr>
      <w:ind w:left="420"/>
      <w:spacing w:after="120" w:afterAutospacing="0"/>
    </w:pPr>
  </w:style>
  <w:style w:type="paragraph" w:styleId="856">
    <w:name w:val="Note Heading"/>
    <w:basedOn w:val="851"/>
    <w:next w:val="851"/>
    <w:uiPriority w:val="0"/>
    <w:qFormat/>
    <w:rPr>
      <w:rFonts w:ascii="Verdana" w:hAnsi="Verdana"/>
      <w:szCs w:val="20"/>
    </w:rPr>
  </w:style>
  <w:style w:type="paragraph" w:styleId="857">
    <w:name w:val="annotation text"/>
    <w:basedOn w:val="851"/>
    <w:uiPriority w:val="0"/>
    <w:qFormat/>
    <w:pPr>
      <w:jc w:val="left"/>
    </w:pPr>
  </w:style>
  <w:style w:type="paragraph" w:styleId="858">
    <w:name w:val="Body Text"/>
    <w:basedOn w:val="851"/>
    <w:next w:val="851"/>
    <w:uiPriority w:val="0"/>
    <w:qFormat/>
    <w:pPr>
      <w:spacing w:after="120"/>
    </w:pPr>
  </w:style>
  <w:style w:type="paragraph" w:styleId="859">
    <w:name w:val="Plain Text"/>
    <w:basedOn w:val="851"/>
    <w:uiPriority w:val="0"/>
    <w:unhideWhenUsed/>
    <w:qFormat/>
    <w:rPr>
      <w:rFonts w:ascii="宋体" w:hAnsi="Courier New" w:cs="Times New Roman"/>
      <w:szCs w:val="20"/>
    </w:rPr>
  </w:style>
  <w:style w:type="paragraph" w:styleId="860">
    <w:name w:val="Body Text Indent 2"/>
    <w:basedOn w:val="851"/>
    <w:uiPriority w:val="0"/>
    <w:qFormat/>
    <w:pPr>
      <w:ind w:firstLine="480"/>
    </w:pPr>
    <w:rPr>
      <w:rFonts w:ascii="仿宋_GB2312" w:eastAsia="仿宋_GB2312"/>
      <w:sz w:val="24"/>
    </w:rPr>
  </w:style>
  <w:style w:type="paragraph" w:styleId="861">
    <w:name w:val="Balloon Text"/>
    <w:basedOn w:val="851"/>
    <w:link w:val="884"/>
    <w:uiPriority w:val="0"/>
    <w:qFormat/>
    <w:rPr>
      <w:sz w:val="18"/>
      <w:szCs w:val="18"/>
    </w:rPr>
  </w:style>
  <w:style w:type="paragraph" w:styleId="862">
    <w:name w:val="Footer"/>
    <w:basedOn w:val="851"/>
    <w:link w:val="868"/>
    <w:uiPriority w:val="0"/>
    <w:qFormat/>
    <w:pPr>
      <w:jc w:val="left"/>
      <w:tabs>
        <w:tab w:val="center" w:pos="4153" w:leader="none"/>
        <w:tab w:val="right" w:pos="8306" w:leader="none"/>
      </w:tabs>
    </w:pPr>
    <w:rPr>
      <w:sz w:val="18"/>
      <w:szCs w:val="18"/>
    </w:rPr>
  </w:style>
  <w:style w:type="paragraph" w:styleId="863">
    <w:name w:val="Header"/>
    <w:basedOn w:val="851"/>
    <w:link w:val="867"/>
    <w:uiPriority w:val="0"/>
    <w:qFormat/>
    <w:pPr>
      <w:jc w:val="center"/>
      <w:tabs>
        <w:tab w:val="center" w:pos="4153" w:leader="none"/>
        <w:tab w:val="right" w:pos="8306" w:leader="none"/>
      </w:tabs>
      <w:pBdr>
        <w:bottom w:val="single" w:color="auto" w:sz="6" w:space="1"/>
      </w:pBdr>
    </w:pPr>
    <w:rPr>
      <w:sz w:val="18"/>
      <w:szCs w:val="18"/>
    </w:rPr>
  </w:style>
  <w:style w:type="paragraph" w:styleId="864">
    <w:name w:val="Normal (Web)"/>
    <w:basedOn w:val="851"/>
    <w:uiPriority w:val="0"/>
    <w:qFormat/>
    <w:pPr>
      <w:jc w:val="left"/>
      <w:spacing w:beforeAutospacing="1" w:afterAutospacing="1"/>
    </w:pPr>
    <w:rPr>
      <w:rFonts w:cs="Times New Roman"/>
      <w:sz w:val="24"/>
    </w:rPr>
  </w:style>
  <w:style w:type="paragraph" w:styleId="865" w:customStyle="1">
    <w:name w:val="文本块1"/>
    <w:basedOn w:val="851"/>
    <w:uiPriority w:val="0"/>
    <w:qFormat/>
    <w:pPr>
      <w:ind w:left="1440"/>
      <w:spacing w:after="120"/>
    </w:pPr>
    <w:rPr>
      <w:rFonts w:hint="eastAsia"/>
    </w:rPr>
  </w:style>
  <w:style w:type="paragraph" w:styleId="866" w:customStyle="1">
    <w:name w:val="Default"/>
    <w:basedOn w:val="851"/>
    <w:uiPriority w:val="0"/>
    <w:semiHidden/>
    <w:qFormat/>
    <w:pPr>
      <w:jc w:val="left"/>
    </w:pPr>
    <w:rPr>
      <w:rFonts w:ascii="宋体" w:hAnsi="Calibri" w:cs="宋体"/>
      <w:color w:val="000000"/>
      <w:sz w:val="24"/>
    </w:rPr>
  </w:style>
  <w:style w:type="character" w:styleId="867" w:customStyle="1">
    <w:name w:val="页眉 Char"/>
    <w:basedOn w:val="853"/>
    <w:link w:val="863"/>
    <w:uiPriority w:val="0"/>
    <w:qFormat/>
    <w:rPr>
      <w:rFonts w:asciiTheme="minorHAnsi" w:hAnsiTheme="minorHAnsi" w:eastAsiaTheme="minorEastAsia" w:cstheme="minorBidi"/>
      <w:sz w:val="18"/>
      <w:szCs w:val="18"/>
    </w:rPr>
  </w:style>
  <w:style w:type="character" w:styleId="868" w:customStyle="1">
    <w:name w:val="页脚 Char"/>
    <w:basedOn w:val="853"/>
    <w:link w:val="862"/>
    <w:uiPriority w:val="0"/>
    <w:qFormat/>
    <w:rPr>
      <w:rFonts w:asciiTheme="minorHAnsi" w:hAnsiTheme="minorHAnsi" w:eastAsiaTheme="minorEastAsia" w:cstheme="minorBidi"/>
      <w:sz w:val="18"/>
      <w:szCs w:val="18"/>
    </w:rPr>
  </w:style>
  <w:style w:type="paragraph" w:styleId="869" w:customStyle="1">
    <w:name w:val="普通正文"/>
    <w:basedOn w:val="851"/>
    <w:uiPriority w:val="0"/>
    <w:qFormat/>
    <w:pPr>
      <w:ind w:firstLine="480"/>
      <w:jc w:val="left"/>
      <w:spacing w:before="120" w:after="120" w:line="360" w:lineRule="auto"/>
    </w:pPr>
    <w:rPr>
      <w:rFonts w:ascii="Arial" w:hAnsi="Arial" w:eastAsia="等线" w:cs="Arial"/>
      <w:sz w:val="24"/>
    </w:rPr>
  </w:style>
  <w:style w:type="paragraph" w:styleId="870" w:customStyle="1">
    <w:name w:val="正文首行缩进1"/>
    <w:basedOn w:val="858"/>
    <w:uiPriority w:val="0"/>
    <w:qFormat/>
    <w:pPr>
      <w:ind w:firstLine="200"/>
      <w:spacing w:line="360" w:lineRule="auto"/>
    </w:pPr>
    <w:rPr>
      <w:rFonts w:ascii="仿宋_GB2312" w:hAnsi="仿宋_GB2312" w:eastAsia="仿宋_GB2312"/>
      <w:sz w:val="30"/>
      <w:szCs w:val="30"/>
    </w:rPr>
  </w:style>
  <w:style w:type="paragraph" w:styleId="871" w:customStyle="1">
    <w:name w:val="一级条标题"/>
    <w:basedOn w:val="872"/>
    <w:next w:val="873"/>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72" w:customStyle="1">
    <w:name w:val="章标题"/>
    <w:next w:val="85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3" w:customStyle="1">
    <w:name w:val="段"/>
    <w:next w:val="874"/>
    <w:uiPriority w:val="99"/>
    <w:qFormat/>
    <w:pPr>
      <w:ind w:firstLine="200"/>
      <w:jc w:val="both"/>
    </w:pPr>
    <w:rPr>
      <w:rFonts w:ascii="宋体" w:hAnsi="Times New Roman" w:eastAsia="宋体" w:cs="Times New Roman"/>
      <w:sz w:val="22"/>
      <w:lang w:val="en-US" w:eastAsia="zh-CN" w:bidi="ar-SA"/>
    </w:rPr>
  </w:style>
  <w:style w:type="paragraph" w:styleId="874" w:customStyle="1">
    <w:name w:val="正文 A"/>
    <w:next w:val="873"/>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875" w:customStyle="1">
    <w:name w:val="小节标题"/>
    <w:basedOn w:val="851"/>
    <w:next w:val="851"/>
    <w:uiPriority w:val="0"/>
    <w:qFormat/>
    <w:pPr>
      <w:spacing w:before="175" w:after="102" w:line="351" w:lineRule="atLeast"/>
      <w:widowControl/>
    </w:pPr>
    <w:rPr>
      <w:rFonts w:eastAsia="黑体"/>
      <w:color w:val="000000"/>
    </w:rPr>
  </w:style>
  <w:style w:type="paragraph" w:styleId="876">
    <w:name w:val="List Paragraph"/>
    <w:basedOn w:val="851"/>
    <w:uiPriority w:val="34"/>
    <w:qFormat/>
    <w:pPr>
      <w:ind w:firstLine="420"/>
    </w:pPr>
  </w:style>
  <w:style w:type="paragraph" w:styleId="877"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878" w:customStyle="1">
    <w:name w:val="普通 (Web)"/>
    <w:basedOn w:val="851"/>
    <w:uiPriority w:val="0"/>
    <w:qFormat/>
    <w:pPr>
      <w:jc w:val="left"/>
      <w:spacing w:before="100" w:beforeAutospacing="1" w:after="100" w:afterAutospacing="1"/>
      <w:widowControl/>
    </w:pPr>
    <w:rPr>
      <w:rFonts w:ascii="宋体" w:hAnsi="宋体"/>
      <w:sz w:val="24"/>
    </w:rPr>
  </w:style>
  <w:style w:type="paragraph" w:styleId="879" w:customStyle="1">
    <w:name w:val="正文（缩进）"/>
    <w:basedOn w:val="851"/>
    <w:uiPriority w:val="0"/>
    <w:qFormat/>
    <w:pPr>
      <w:ind w:firstLine="480"/>
      <w:spacing w:before="156" w:after="156"/>
    </w:pPr>
  </w:style>
  <w:style w:type="paragraph" w:styleId="880" w:customStyle="1">
    <w:name w:val="正文首行缩进 21"/>
    <w:basedOn w:val="881"/>
    <w:uiPriority w:val="0"/>
    <w:qFormat/>
    <w:pPr>
      <w:ind w:firstLine="420"/>
    </w:pPr>
  </w:style>
  <w:style w:type="paragraph" w:styleId="881" w:customStyle="1">
    <w:name w:val="正文文本缩进1"/>
    <w:basedOn w:val="851"/>
    <w:uiPriority w:val="0"/>
    <w:qFormat/>
    <w:pPr>
      <w:ind w:left="420"/>
      <w:spacing w:after="120"/>
    </w:pPr>
  </w:style>
  <w:style w:type="paragraph" w:styleId="882" w:customStyle="1">
    <w:name w:val="Table Text"/>
    <w:basedOn w:val="851"/>
    <w:uiPriority w:val="0"/>
    <w:semiHidden/>
    <w:qFormat/>
    <w:pPr>
      <w:jc w:val="left"/>
      <w:widowControl/>
    </w:pPr>
    <w:rPr>
      <w:rFonts w:ascii="宋体" w:hAnsi="宋体" w:cs="宋体"/>
      <w:color w:val="000000"/>
      <w:lang w:eastAsia="en-US"/>
    </w:rPr>
  </w:style>
  <w:style w:type="paragraph" w:styleId="883" w:customStyle="1">
    <w:name w:val="正文1"/>
    <w:next w:val="851"/>
    <w:uiPriority w:val="0"/>
    <w:qFormat/>
    <w:pPr>
      <w:jc w:val="both"/>
      <w:widowControl w:val="off"/>
    </w:pPr>
    <w:rPr>
      <w:rFonts w:ascii="Times New Roman" w:hAnsi="Times New Roman" w:eastAsia="宋体" w:cs="Times New Roman"/>
      <w:sz w:val="21"/>
      <w:szCs w:val="24"/>
      <w:lang w:val="en-US" w:eastAsia="zh-CN" w:bidi="ar-SA"/>
    </w:rPr>
  </w:style>
  <w:style w:type="character" w:styleId="884" w:customStyle="1">
    <w:name w:val="批注框文本 Char"/>
    <w:basedOn w:val="853"/>
    <w:link w:val="861"/>
    <w:uiPriority w:val="0"/>
    <w:qFormat/>
    <w:rPr>
      <w:rFonts w:asciiTheme="minorHAnsi" w:hAnsiTheme="minorHAnsi" w:cstheme="minorBidi"/>
      <w:sz w:val="18"/>
      <w:szCs w:val="18"/>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4558d191-5449-4fa5-ba3d-5d18de1e3877</errorID>
      <errorWord>证</errorWord>
      <group>L1_Grammar</group>
      <groupName>语法问题</groupName>
      <ability>L2_Order</ability>
      <abilityName>语序不当</abilityName>
      <candidateList>
        <item>（证</item>
      </candidateList>
      <explain>句子可能没有遵循时空、逻辑顺序，或者介词、关联词等位置不当。</explain>
      <paraID>365A0897</paraID>
      <start>88</start>
      <end>89</end>
      <status>ignored</status>
      <modifiedWord/>
      <trackRevisions>false</trackRevisions>
    </reviewItem>
    <reviewItem>
      <errorID>77d787de-3bbd-42e0-9805-93ef874b8505</errorID>
      <errorWord>-</errorWord>
      <group>L1_Format</group>
      <groupName>格式问题</groupName>
      <ability>L2_HalfPunc</ability>
      <abilityName>全半角检查</abilityName>
      <candidateList>
        <item>－</item>
      </candidateList>
      <explain>文本全半角错误。</explain>
      <paraID>57C3841A</paraID>
      <start>14</start>
      <end>15</end>
      <status>ignored</status>
      <modifiedWord/>
      <trackRevisions>false</trackRevisions>
    </reviewItem>
    <reviewItem>
      <errorID>75d33bf1-bc82-44dd-9dd9-370012601d8c</errorID>
      <errorWord>-</errorWord>
      <group>L1_Format</group>
      <groupName>格式问题</groupName>
      <ability>L2_HalfPunc</ability>
      <abilityName>全半角检查</abilityName>
      <candidateList>
        <item>－</item>
      </candidateList>
      <explain>文本全半角错误。</explain>
      <paraID>57C3841A</paraID>
      <start>15</start>
      <end>16</end>
      <status>ignored</status>
      <modifiedWord/>
      <trackRevisions>false</trackRevisions>
    </reviewItem>
    <reviewItem>
      <errorID>2fcd99c8-0cb8-45cc-8dee-41ce8134a70f</errorID>
      <errorWord>“.</errorWord>
      <group>L1_Punc</group>
      <groupName>标点问题</groupName>
      <ability>L2_Punc</ability>
      <abilityName>标点符号检查</abilityName>
      <candidateList>
        <item>“</item>
      </candidateList>
      <explain/>
      <paraID>57C3841A</paraID>
      <start>57</start>
      <end>59</end>
      <status>ignored</status>
      <modifiedWord/>
      <trackRevisions>false</trackRevisions>
    </reviewItem>
    <reviewItem>
      <errorID>ce3910bf-d7de-4ae5-a3ef-7c26eb8908e1</errorID>
      <errorWord>“.</errorWord>
      <group>L1_Punc</group>
      <groupName>标点问题</groupName>
      <ability>L2_Punc</ability>
      <abilityName>标点符号检查</abilityName>
      <candidateList>
        <item>“</item>
      </candidateList>
      <explain/>
      <paraID>57C3841A</paraID>
      <start>72</start>
      <end>74</end>
      <status>ignored</status>
      <modifiedWord/>
      <trackRevisions>false</trackRevisions>
    </reviewItem>
    <reviewItem>
      <errorID>35fe75f0-d84b-4d8b-a4d6-db13cb63cafc</errorID>
      <errorWord>-</errorWord>
      <group>L1_Format</group>
      <groupName>格式问题</groupName>
      <ability>L2_HalfPunc</ability>
      <abilityName>全半角检查</abilityName>
      <candidateList>
        <item>－</item>
      </candidateList>
      <explain>文本全半角错误。</explain>
      <paraID>57C3841A</paraID>
      <start>95</start>
      <end>96</end>
      <status>ignored</status>
      <modifiedWord/>
      <trackRevisions>false</trackRevisions>
    </reviewItem>
    <reviewItem>
      <errorID>0fca1de5-2534-4b51-b161-f9e5dc33cf07</errorID>
      <errorWord>-</errorWord>
      <group>L1_Format</group>
      <groupName>格式问题</groupName>
      <ability>L2_HalfPunc</ability>
      <abilityName>全半角检查</abilityName>
      <candidateList>
        <item>－</item>
      </candidateList>
      <explain>文本全半角错误。</explain>
      <paraID>57C3841A</paraID>
      <start>96</start>
      <end>97</end>
      <status>ignored</status>
      <modifiedWord/>
      <trackRevisions>false</trackRevisions>
    </reviewItem>
    <reviewItem>
      <errorID>29d39d39-be1b-4f02-bc60-f37fa0bf9674</errorID>
      <errorWord>-</errorWord>
      <group>L1_Format</group>
      <groupName>格式问题</groupName>
      <ability>L2_HalfPunc</ability>
      <abilityName>全半角检查</abilityName>
      <candidateList>
        <item>－</item>
      </candidateList>
      <explain>文本全半角错误。</explain>
      <paraID>57C3841A</paraID>
      <start>103</start>
      <end>104</end>
      <status>ignored</status>
      <modifiedWord/>
      <trackRevisions>false</trackRevisions>
    </reviewItem>
    <reviewItem>
      <errorID>986c55c6-eb4e-483a-a68b-056f568c27f4</errorID>
      <errorWord>-</errorWord>
      <group>L1_Format</group>
      <groupName>格式问题</groupName>
      <ability>L2_HalfPunc</ability>
      <abilityName>全半角检查</abilityName>
      <candidateList>
        <item>－</item>
      </candidateList>
      <explain>文本全半角错误。</explain>
      <paraID>57C3841A</paraID>
      <start>104</start>
      <end>105</end>
      <status>ignored</status>
      <modifiedWord/>
      <trackRevisions>false</trackRevisions>
    </reviewItem>
    <reviewItem>
      <errorID>810168c1-4283-43e8-bc3f-f19d1948689b</errorID>
      <errorWord>-</errorWord>
      <group>L1_Format</group>
      <groupName>格式问题</groupName>
      <ability>L2_HalfPunc</ability>
      <abilityName>全半角检查</abilityName>
      <candidateList>
        <item>－</item>
      </candidateList>
      <explain>文本全半角错误。</explain>
      <paraID>57C3841A</paraID>
      <start>175</start>
      <end>176</end>
      <status>ignored</status>
      <modifiedWord/>
      <trackRevisions>false</trackRevisions>
    </reviewItem>
    <reviewItem>
      <errorID>ef0584b1-dc7c-4e44-80b7-9ad35ee6a2bb</errorID>
      <errorWord>-</errorWord>
      <group>L1_Format</group>
      <groupName>格式问题</groupName>
      <ability>L2_HalfPunc</ability>
      <abilityName>全半角检查</abilityName>
      <candidateList>
        <item>－</item>
      </candidateList>
      <explain>文本全半角错误。</explain>
      <paraID>3E0AA4A1</paraID>
      <start>31</start>
      <end>32</end>
      <status>ignored</status>
      <modifiedWord/>
      <trackRevisions>false</trackRevisions>
    </reviewItem>
    <reviewItem>
      <errorID>73039c54-f83a-4a7a-9ee9-c8c7d1769501</errorID>
      <errorWord>“.</errorWord>
      <group>L1_Punc</group>
      <groupName>标点问题</groupName>
      <ability>L2_Punc</ability>
      <abilityName>标点符号检查</abilityName>
      <candidateList>
        <item>“</item>
      </candidateList>
      <explain/>
      <paraID>524C98D2</paraID>
      <start>13</start>
      <end>15</end>
      <status>ignored</status>
      <modifiedWord/>
      <trackRevisions>false</trackRevisions>
    </reviewItem>
    <reviewItem>
      <errorID>01d2c53f-0e03-44c0-9ce0-bc80416e5afb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4DB94BAC</paraID>
      <start>30</start>
      <end>33</end>
      <status>ignored</status>
      <modifiedWord/>
      <trackRevisions>false</trackRevisions>
    </reviewItem>
    <reviewItem>
      <errorID>6534479c-2ac4-4130-9dbd-2bed38e9d183</errorID>
      <errorWord>《</errorWord>
      <group>L1_Punc</group>
      <groupName>标点问题</groupName>
      <ability>L2_Punc</ability>
      <abilityName>标点符号检查</abilityName>
      <candidateList/>
      <explain>同一形式括号套用。</explain>
      <paraID>395A9083</paraID>
      <start>33</start>
      <end>34</end>
      <status>ignored</status>
      <modifiedWord/>
      <trackRevisions>false</trackRevisions>
    </reviewItem>
    <reviewItem>
      <errorID>3c143053-877e-4bb9-ab69-a21dd47b90d1</errorID>
      <errorWord>》</errorWord>
      <group>L1_Punc</group>
      <groupName>标点问题</groupName>
      <ability>L2_Punc</ability>
      <abilityName>标点符号检查</abilityName>
      <candidateList/>
      <explain>同一形式括号套用。</explain>
      <paraID>395A9083</paraID>
      <start>50</start>
      <end>51</end>
      <status>ignored</status>
      <modifiedWord/>
      <trackRevisions>false</trackRevisions>
    </reviewItem>
    <reviewItem>
      <errorID>0047d770-4eae-4183-b909-559675aa00c0</errorID>
      <errorWord>《</errorWord>
      <group>L1_Punc</group>
      <groupName>标点问题</groupName>
      <ability>L2_Punc</ability>
      <abilityName>标点符号检查</abilityName>
      <candidateList/>
      <explain>同一形式括号套用。</explain>
      <paraID>395A9083</paraID>
      <start>51</start>
      <end>52</end>
      <status>ignored</status>
      <modifiedWord/>
      <trackRevisions>false</trackRevisions>
    </reviewItem>
    <reviewItem>
      <errorID>57c469d8-8f57-41a8-8e13-81c3f57fd7f9</errorID>
      <errorWord>》</errorWord>
      <group>L1_Punc</group>
      <groupName>标点问题</groupName>
      <ability>L2_Punc</ability>
      <abilityName>标点符号检查</abilityName>
      <candidateList/>
      <explain>同一形式括号套用。</explain>
      <paraID>395A9083</paraID>
      <start>68</start>
      <end>69</end>
      <status>ignored</status>
      <modifiedWord/>
      <trackRevisions>false</trackRevisions>
    </reviewItem>
    <reviewItem>
      <errorID>5b076722-ee36-4dde-a0e8-96c1c906b910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33EE050D</paraID>
      <start>288</start>
      <end>290</end>
      <status>modified</status>
      <modifiedWord>可以</modifiedWord>
      <trackRevisions>false</trackRevisions>
    </reviewItem>
    <reviewItem>
      <errorID>18e40435-2396-48b2-9ab5-9574514d02c9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22A4D8CC</paraID>
      <start>60</start>
      <end>61</end>
      <status>modified</status>
      <modifiedWord>—</modifiedWord>
      <trackRevisions>false</trackRevisions>
    </reviewItem>
    <reviewItem>
      <errorID>f037d55a-887e-40af-9d5d-e2adbe591c60</errorID>
      <errorWord>系</errorWord>
      <group>L1_Word</group>
      <groupName>字词问题</groupName>
      <ability>L2_Typo</ability>
      <abilityName>字词错误</abilityName>
      <candidateList>
        <item>系和</item>
      </candidateList>
      <explain/>
      <paraID>2452BD1C</paraID>
      <start>14</start>
      <end>16</end>
      <status>modified</status>
      <modifiedWord>系和</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B7CC6E0-2CFC-4F81-A86E-5454AC616AB7}"/>
</file>

<file path=customXml/itemProps2.xml><?xml version="1.0" encoding="utf-8"?>
<ds:datastoreItem xmlns:ds="http://schemas.openxmlformats.org/officeDocument/2006/customXml" ds:itemID="{BC864C8C-233E-499A-AC14-3B4715F67D9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14</cp:revision>
  <dcterms:created xsi:type="dcterms:W3CDTF">2025-08-01T07:12:00Z</dcterms:created>
  <dcterms:modified xsi:type="dcterms:W3CDTF">2025-11-27T08:39:55Z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44B477F4E54D4FFBA497907AC65D1592_13</vt:lpwstr>
  </property>
  <property fmtid="{D5CDD505-2E9C-101B-9397-08002B2CF9AE}" pid="4" name="KSOTemplateDocerSaveRecord">
    <vt:lpwstr>eyJoZGlkIjoiYjA5ZGM2ZWEzZTFmMTNmZjQ5MzY5NzkxNDYyYzFhMTYiLCJ1c2VySWQiOiIxMzA2NDU5MDMyIn0=</vt:lpwstr>
  </property>
</Properties>
</file>